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61C1B">
      <w:pPr>
        <w:spacing w:after="156" w:line="560" w:lineRule="exact"/>
        <w:jc w:val="center"/>
        <w:textAlignment w:val="baseline"/>
        <w:rPr>
          <w:rStyle w:val="17"/>
          <w:rFonts w:hint="default" w:ascii="Times New Roman" w:hAnsi="Times New Roman" w:eastAsia="方正小标宋简体" w:cs="Times New Roman"/>
          <w:b/>
          <w:sz w:val="44"/>
          <w:szCs w:val="44"/>
        </w:rPr>
      </w:pPr>
    </w:p>
    <w:p w14:paraId="49A398AD">
      <w:pPr>
        <w:spacing w:after="156" w:line="560" w:lineRule="exact"/>
        <w:jc w:val="center"/>
        <w:textAlignment w:val="baseline"/>
        <w:rPr>
          <w:rStyle w:val="17"/>
          <w:rFonts w:hint="default" w:ascii="Times New Roman" w:hAnsi="Times New Roman" w:eastAsia="方正小标宋简体" w:cs="Times New Roman"/>
          <w:bCs/>
          <w:sz w:val="44"/>
          <w:szCs w:val="44"/>
        </w:rPr>
      </w:pPr>
    </w:p>
    <w:p w14:paraId="6E481AFF">
      <w:pPr>
        <w:spacing w:after="156" w:line="560" w:lineRule="exact"/>
        <w:jc w:val="center"/>
        <w:textAlignment w:val="baseline"/>
        <w:rPr>
          <w:rStyle w:val="17"/>
          <w:rFonts w:hint="default" w:ascii="Times New Roman" w:hAnsi="Times New Roman" w:eastAsia="方正小标宋简体" w:cs="Times New Roman"/>
          <w:bCs/>
          <w:sz w:val="44"/>
          <w:szCs w:val="44"/>
        </w:rPr>
      </w:pPr>
    </w:p>
    <w:p w14:paraId="456EA59E">
      <w:pPr>
        <w:spacing w:after="156" w:line="560" w:lineRule="exact"/>
        <w:jc w:val="center"/>
        <w:textAlignment w:val="baseline"/>
        <w:rPr>
          <w:rStyle w:val="17"/>
          <w:rFonts w:hint="default" w:ascii="Times New Roman" w:hAnsi="Times New Roman" w:eastAsia="方正小标宋简体" w:cs="Times New Roman"/>
          <w:bCs/>
          <w:sz w:val="44"/>
          <w:szCs w:val="44"/>
        </w:rPr>
      </w:pPr>
      <w:r>
        <w:rPr>
          <w:rStyle w:val="17"/>
          <w:rFonts w:hint="default" w:ascii="Times New Roman" w:hAnsi="Times New Roman" w:eastAsia="方正小标宋简体" w:cs="Times New Roman"/>
          <w:bCs/>
          <w:sz w:val="44"/>
          <w:szCs w:val="44"/>
        </w:rPr>
        <w:t>研究生教育发展质量年度报告</w:t>
      </w:r>
    </w:p>
    <w:p w14:paraId="6741B21D">
      <w:pPr>
        <w:spacing w:after="156" w:line="560" w:lineRule="exact"/>
        <w:jc w:val="center"/>
        <w:textAlignment w:val="baseline"/>
        <w:rPr>
          <w:rStyle w:val="17"/>
          <w:rFonts w:hint="default" w:ascii="Times New Roman" w:hAnsi="Times New Roman" w:eastAsia="方正小标宋简体" w:cs="Times New Roman"/>
          <w:bCs/>
          <w:sz w:val="44"/>
          <w:szCs w:val="44"/>
        </w:rPr>
      </w:pPr>
      <w:r>
        <w:rPr>
          <w:rStyle w:val="17"/>
          <w:rFonts w:hint="default" w:ascii="Times New Roman" w:hAnsi="Times New Roman" w:eastAsia="方正小标宋简体" w:cs="Times New Roman"/>
          <w:bCs/>
          <w:sz w:val="44"/>
          <w:szCs w:val="44"/>
        </w:rPr>
        <w:t>（2021年）</w:t>
      </w:r>
    </w:p>
    <w:p w14:paraId="54EE2BD6">
      <w:pPr>
        <w:spacing w:after="156" w:line="560" w:lineRule="exact"/>
        <w:jc w:val="center"/>
        <w:textAlignment w:val="baseline"/>
        <w:rPr>
          <w:rStyle w:val="17"/>
          <w:rFonts w:hint="default" w:ascii="Times New Roman" w:hAnsi="Times New Roman" w:eastAsia="方正小标宋简体" w:cs="Times New Roman"/>
          <w:bCs/>
          <w:sz w:val="44"/>
          <w:szCs w:val="44"/>
        </w:rPr>
      </w:pPr>
    </w:p>
    <w:p w14:paraId="6FC31D7D">
      <w:pPr>
        <w:snapToGrid w:val="0"/>
        <w:jc w:val="center"/>
        <w:textAlignment w:val="baseline"/>
        <w:rPr>
          <w:rStyle w:val="17"/>
          <w:rFonts w:hint="default" w:ascii="Times New Roman" w:hAnsi="Times New Roman" w:eastAsia="宋体" w:cs="Times New Roman"/>
          <w:b/>
          <w:sz w:val="48"/>
          <w:szCs w:val="20"/>
        </w:rPr>
      </w:pPr>
    </w:p>
    <w:p w14:paraId="1757FBAF">
      <w:pPr>
        <w:snapToGrid w:val="0"/>
        <w:jc w:val="center"/>
        <w:textAlignment w:val="baseline"/>
        <w:rPr>
          <w:rStyle w:val="17"/>
          <w:rFonts w:hint="default" w:ascii="Times New Roman" w:hAnsi="Times New Roman" w:eastAsia="宋体" w:cs="Times New Roman"/>
          <w:b/>
          <w:sz w:val="48"/>
          <w:szCs w:val="20"/>
        </w:rPr>
      </w:pPr>
    </w:p>
    <w:p w14:paraId="44C8F468">
      <w:pPr>
        <w:snapToGrid w:val="0"/>
        <w:spacing w:line="300" w:lineRule="auto"/>
        <w:jc w:val="center"/>
        <w:textAlignment w:val="baseline"/>
        <w:rPr>
          <w:rStyle w:val="17"/>
          <w:rFonts w:hint="default" w:ascii="Times New Roman" w:hAnsi="Times New Roman" w:eastAsia="宋体" w:cs="Times New Roman"/>
          <w:b/>
          <w:szCs w:val="32"/>
        </w:rPr>
      </w:pPr>
    </w:p>
    <w:tbl>
      <w:tblPr>
        <w:tblStyle w:val="8"/>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14:paraId="1237F52B">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bottom w:val="single" w:color="000000" w:sz="4" w:space="0"/>
              <w:right w:val="single" w:color="000000" w:sz="4" w:space="0"/>
            </w:tcBorders>
            <w:vAlign w:val="center"/>
          </w:tcPr>
          <w:p w14:paraId="3DEB147B">
            <w:pPr>
              <w:snapToGrid w:val="0"/>
              <w:spacing w:line="240" w:lineRule="atLeast"/>
              <w:jc w:val="center"/>
              <w:textAlignment w:val="baseline"/>
              <w:rPr>
                <w:rStyle w:val="17"/>
                <w:rFonts w:hint="default" w:ascii="Times New Roman" w:hAnsi="Times New Roman" w:eastAsia="宋体" w:cs="Times New Roman"/>
                <w:b/>
                <w:spacing w:val="-10"/>
                <w:szCs w:val="32"/>
              </w:rPr>
            </w:pPr>
            <w:r>
              <w:rPr>
                <w:rStyle w:val="17"/>
                <w:rFonts w:hint="default" w:ascii="Times New Roman" w:hAnsi="Times New Roman" w:eastAsia="宋体" w:cs="Times New Roman"/>
                <w:b/>
                <w:spacing w:val="-10"/>
                <w:szCs w:val="32"/>
              </w:rPr>
              <w:t>高校</w:t>
            </w:r>
          </w:p>
          <w:p w14:paraId="31359B87">
            <w:pPr>
              <w:snapToGrid w:val="0"/>
              <w:spacing w:line="240" w:lineRule="atLeast"/>
              <w:jc w:val="center"/>
              <w:textAlignment w:val="baseline"/>
              <w:rPr>
                <w:rStyle w:val="17"/>
                <w:rFonts w:hint="default" w:ascii="Times New Roman" w:hAnsi="Times New Roman" w:eastAsia="宋体" w:cs="Times New Roman"/>
                <w:b/>
                <w:spacing w:val="-10"/>
                <w:szCs w:val="32"/>
              </w:rPr>
            </w:pPr>
            <w:r>
              <w:rPr>
                <w:rStyle w:val="17"/>
                <w:rFonts w:hint="default" w:ascii="Times New Roman" w:hAnsi="Times New Roman" w:eastAsia="宋体" w:cs="Times New Roman"/>
                <w:b/>
                <w:spacing w:val="-10"/>
                <w:szCs w:val="32"/>
              </w:rPr>
              <w:t>（公章）</w:t>
            </w:r>
          </w:p>
        </w:tc>
        <w:tc>
          <w:tcPr>
            <w:tcW w:w="3977" w:type="dxa"/>
            <w:tcBorders>
              <w:top w:val="nil"/>
              <w:left w:val="single" w:color="000000" w:sz="4" w:space="0"/>
              <w:bottom w:val="single" w:color="000000" w:sz="4" w:space="0"/>
              <w:right w:val="nil"/>
            </w:tcBorders>
            <w:vAlign w:val="center"/>
          </w:tcPr>
          <w:p w14:paraId="7C9AE42D">
            <w:pPr>
              <w:snapToGrid w:val="0"/>
              <w:spacing w:line="300" w:lineRule="auto"/>
              <w:textAlignment w:val="baseline"/>
              <w:rPr>
                <w:rStyle w:val="17"/>
                <w:rFonts w:hint="default" w:ascii="Times New Roman" w:hAnsi="Times New Roman" w:eastAsia="宋体" w:cs="Times New Roman"/>
                <w:b/>
                <w:spacing w:val="-10"/>
                <w:szCs w:val="32"/>
              </w:rPr>
            </w:pPr>
            <w:r>
              <w:rPr>
                <w:rStyle w:val="17"/>
                <w:rFonts w:hint="default" w:ascii="Times New Roman" w:hAnsi="Times New Roman" w:eastAsia="宋体" w:cs="Times New Roman"/>
                <w:b/>
                <w:spacing w:val="-10"/>
                <w:szCs w:val="32"/>
              </w:rPr>
              <w:t>名称：西南林业大学</w:t>
            </w:r>
          </w:p>
        </w:tc>
      </w:tr>
      <w:tr w14:paraId="78B536D2">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top w:val="single" w:color="000000" w:sz="4" w:space="0"/>
              <w:left w:val="nil"/>
              <w:bottom w:val="nil"/>
              <w:right w:val="single" w:color="000000" w:sz="4" w:space="0"/>
            </w:tcBorders>
            <w:vAlign w:val="center"/>
          </w:tcPr>
          <w:p w14:paraId="4607D74A">
            <w:pPr>
              <w:snapToGrid w:val="0"/>
              <w:spacing w:line="300" w:lineRule="auto"/>
              <w:jc w:val="center"/>
              <w:textAlignment w:val="baseline"/>
              <w:rPr>
                <w:rStyle w:val="17"/>
                <w:rFonts w:hint="default" w:ascii="Times New Roman" w:hAnsi="Times New Roman" w:eastAsia="宋体" w:cs="Times New Roman"/>
                <w:b/>
                <w:spacing w:val="-10"/>
                <w:szCs w:val="32"/>
              </w:rPr>
            </w:pPr>
          </w:p>
        </w:tc>
        <w:tc>
          <w:tcPr>
            <w:tcW w:w="3977" w:type="dxa"/>
            <w:tcBorders>
              <w:top w:val="single" w:color="000000" w:sz="4" w:space="0"/>
              <w:left w:val="single" w:color="000000" w:sz="4" w:space="0"/>
              <w:bottom w:val="nil"/>
              <w:right w:val="nil"/>
            </w:tcBorders>
            <w:vAlign w:val="center"/>
          </w:tcPr>
          <w:p w14:paraId="41C6E4A6">
            <w:pPr>
              <w:snapToGrid w:val="0"/>
              <w:spacing w:line="300" w:lineRule="auto"/>
              <w:textAlignment w:val="baseline"/>
              <w:rPr>
                <w:rStyle w:val="17"/>
                <w:rFonts w:hint="default" w:ascii="Times New Roman" w:hAnsi="Times New Roman" w:eastAsia="宋体" w:cs="Times New Roman"/>
                <w:b/>
                <w:spacing w:val="-10"/>
                <w:szCs w:val="32"/>
              </w:rPr>
            </w:pPr>
            <w:r>
              <w:rPr>
                <w:rStyle w:val="17"/>
                <w:rFonts w:hint="default" w:ascii="Times New Roman" w:hAnsi="Times New Roman" w:eastAsia="宋体" w:cs="Times New Roman"/>
                <w:b/>
                <w:spacing w:val="-10"/>
                <w:szCs w:val="32"/>
              </w:rPr>
              <w:t>代码：10677</w:t>
            </w:r>
          </w:p>
        </w:tc>
      </w:tr>
    </w:tbl>
    <w:p w14:paraId="6652F01C">
      <w:pPr>
        <w:snapToGrid w:val="0"/>
        <w:spacing w:line="300" w:lineRule="auto"/>
        <w:jc w:val="center"/>
        <w:textAlignment w:val="baseline"/>
        <w:rPr>
          <w:rStyle w:val="17"/>
          <w:rFonts w:hint="default" w:ascii="Times New Roman" w:hAnsi="Times New Roman" w:eastAsia="宋体" w:cs="Times New Roman"/>
          <w:b/>
          <w:sz w:val="48"/>
          <w:szCs w:val="20"/>
        </w:rPr>
      </w:pPr>
    </w:p>
    <w:p w14:paraId="4C06B632">
      <w:pPr>
        <w:spacing w:line="560" w:lineRule="exact"/>
        <w:jc w:val="center"/>
        <w:textAlignment w:val="baseline"/>
        <w:rPr>
          <w:rStyle w:val="17"/>
          <w:rFonts w:hint="default" w:ascii="Times New Roman" w:hAnsi="Times New Roman" w:eastAsia="方正楷体_GB2312" w:cs="Times New Roman"/>
          <w:b/>
          <w:sz w:val="30"/>
          <w:szCs w:val="30"/>
        </w:rPr>
      </w:pPr>
    </w:p>
    <w:p w14:paraId="53E5CC05">
      <w:pPr>
        <w:pStyle w:val="18"/>
        <w:widowControl/>
        <w:rPr>
          <w:rStyle w:val="17"/>
          <w:rFonts w:hint="default" w:ascii="Times New Roman" w:hAnsi="Times New Roman" w:eastAsia="黑体" w:cs="Times New Roman"/>
          <w:color w:val="auto"/>
          <w:szCs w:val="32"/>
        </w:rPr>
      </w:pPr>
    </w:p>
    <w:p w14:paraId="583964EF">
      <w:pPr>
        <w:spacing w:line="560" w:lineRule="exact"/>
        <w:jc w:val="center"/>
        <w:textAlignment w:val="baseline"/>
        <w:rPr>
          <w:rStyle w:val="17"/>
          <w:rFonts w:hint="default" w:ascii="Times New Roman" w:hAnsi="Times New Roman" w:eastAsia="方正楷体_GB2312" w:cs="Times New Roman"/>
          <w:b/>
          <w:sz w:val="30"/>
          <w:szCs w:val="30"/>
        </w:rPr>
      </w:pPr>
    </w:p>
    <w:p w14:paraId="6805B232">
      <w:pPr>
        <w:spacing w:line="560" w:lineRule="exact"/>
        <w:jc w:val="center"/>
        <w:textAlignment w:val="baseline"/>
        <w:rPr>
          <w:rStyle w:val="17"/>
          <w:rFonts w:hint="default" w:ascii="Times New Roman" w:hAnsi="Times New Roman" w:eastAsia="黑体" w:cs="Times New Roman"/>
          <w:szCs w:val="32"/>
        </w:rPr>
        <w:sectPr>
          <w:footerReference r:id="rId3" w:type="default"/>
          <w:pgSz w:w="11906" w:h="16838"/>
          <w:pgMar w:top="1440" w:right="1800" w:bottom="1440" w:left="1800" w:header="851" w:footer="992" w:gutter="0"/>
          <w:pgNumType w:start="1"/>
          <w:cols w:space="425" w:num="1"/>
          <w:docGrid w:type="lines" w:linePitch="312" w:charSpace="0"/>
        </w:sectPr>
      </w:pPr>
      <w:r>
        <w:rPr>
          <w:rStyle w:val="17"/>
          <w:rFonts w:hint="default" w:ascii="Times New Roman" w:hAnsi="Times New Roman" w:eastAsia="方正楷体_GB2312" w:cs="Times New Roman"/>
          <w:b/>
          <w:szCs w:val="32"/>
        </w:rPr>
        <w:t xml:space="preserve">2022 年 5 月 </w:t>
      </w:r>
      <w:r>
        <w:rPr>
          <w:rStyle w:val="17"/>
          <w:rFonts w:hint="eastAsia" w:ascii="Times New Roman" w:hAnsi="Times New Roman" w:eastAsia="方正楷体_GB2312" w:cs="Times New Roman"/>
          <w:b/>
          <w:szCs w:val="32"/>
          <w:lang w:val="en-US"/>
        </w:rPr>
        <w:t>4</w:t>
      </w:r>
      <w:r>
        <w:rPr>
          <w:rStyle w:val="17"/>
          <w:rFonts w:hint="default" w:ascii="Times New Roman" w:hAnsi="Times New Roman" w:eastAsia="方正楷体_GB2312" w:cs="Times New Roman"/>
          <w:b/>
          <w:szCs w:val="32"/>
        </w:rPr>
        <w:t>日</w:t>
      </w:r>
    </w:p>
    <w:p w14:paraId="1C86D322">
      <w:pPr>
        <w:pStyle w:val="2"/>
        <w:snapToGrid w:val="0"/>
        <w:spacing w:before="156" w:beforeLines="50" w:after="156" w:afterLines="50" w:line="560" w:lineRule="exact"/>
        <w:rPr>
          <w:rStyle w:val="17"/>
          <w:rFonts w:hint="default" w:ascii="Times New Roman" w:hAnsi="Times New Roman" w:eastAsia="方正楷体_GB2312" w:cs="Times New Roman"/>
          <w:color w:val="auto"/>
          <w:szCs w:val="32"/>
        </w:rPr>
      </w:pPr>
      <w:r>
        <w:rPr>
          <w:rStyle w:val="17"/>
          <w:rFonts w:hint="default" w:ascii="Times New Roman" w:hAnsi="Times New Roman" w:eastAsia="方正楷体_GB2312" w:cs="Times New Roman"/>
          <w:color w:val="auto"/>
          <w:szCs w:val="32"/>
        </w:rPr>
        <w:t>一、总体概况</w:t>
      </w:r>
    </w:p>
    <w:p w14:paraId="69D448F9">
      <w:pPr>
        <w:pStyle w:val="2"/>
        <w:spacing w:before="156" w:beforeLines="50" w:after="156" w:afterLines="50" w:line="560" w:lineRule="exact"/>
        <w:ind w:firstLine="643"/>
        <w:rPr>
          <w:rStyle w:val="17"/>
          <w:rFonts w:hint="default" w:ascii="Times New Roman" w:hAnsi="Times New Roman" w:eastAsia="方正仿宋_GBK" w:cs="Times New Roman"/>
          <w:b/>
          <w:bCs/>
          <w:color w:val="auto"/>
          <w:szCs w:val="32"/>
        </w:rPr>
      </w:pPr>
      <w:r>
        <w:rPr>
          <w:rStyle w:val="17"/>
          <w:rFonts w:hint="default" w:ascii="Times New Roman" w:hAnsi="Times New Roman" w:eastAsia="方正仿宋_GBK" w:cs="Times New Roman"/>
          <w:b/>
          <w:bCs/>
          <w:color w:val="auto"/>
          <w:szCs w:val="32"/>
        </w:rPr>
        <w:t>（一）学位授权点基本情况</w:t>
      </w:r>
    </w:p>
    <w:p w14:paraId="59C40FAD">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截</w:t>
      </w:r>
      <w:r>
        <w:rPr>
          <w:rStyle w:val="17"/>
          <w:rFonts w:hint="default" w:ascii="Times New Roman" w:hAnsi="Times New Roman" w:eastAsia="方正仿宋_GBK" w:cs="Times New Roman"/>
          <w:color w:val="auto"/>
          <w:szCs w:val="32"/>
          <w:lang w:val="en-US"/>
        </w:rPr>
        <w:t>至</w:t>
      </w:r>
      <w:r>
        <w:rPr>
          <w:rStyle w:val="17"/>
          <w:rFonts w:hint="default" w:ascii="Times New Roman" w:hAnsi="Times New Roman" w:eastAsia="方正仿宋_GBK" w:cs="Times New Roman"/>
          <w:color w:val="auto"/>
          <w:szCs w:val="32"/>
        </w:rPr>
        <w:t>2021年12月，学校拥有4个一级学科博士学位授权点、15个一级学科硕士学位授权点以及15个硕士专业学位类别，涵盖法学、理学、工学、农学、管理学、艺术学等6个学科门类。</w:t>
      </w:r>
    </w:p>
    <w:p w14:paraId="79035457">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（1）博士学位授权点分布情况</w:t>
      </w:r>
    </w:p>
    <w:p w14:paraId="64FD2AA6">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我校一级学科博士学位授权点分布情况如表1-1所示。</w:t>
      </w:r>
    </w:p>
    <w:p w14:paraId="1FF1B22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8"/>
          <w:szCs w:val="28"/>
          <w:shd w:val="clear" w:color="auto" w:fill="FFFFFF"/>
        </w:rPr>
      </w:pPr>
      <w:r>
        <w:rPr>
          <w:rFonts w:hint="default" w:ascii="Times New Roman" w:hAnsi="Times New Roman" w:eastAsia="方正仿宋_GBK" w:cs="Times New Roman"/>
          <w:sz w:val="28"/>
          <w:szCs w:val="28"/>
          <w:shd w:val="clear" w:color="auto" w:fill="FFFFFF"/>
        </w:rPr>
        <w:t>表1-1 2021年西南林业大学一级学科博士学位授权点分布情况表</w:t>
      </w:r>
    </w:p>
    <w:tbl>
      <w:tblPr>
        <w:tblStyle w:val="8"/>
        <w:tblW w:w="6926" w:type="dxa"/>
        <w:jc w:val="center"/>
        <w:tblLayout w:type="autofit"/>
        <w:tblCellMar>
          <w:top w:w="0" w:type="dxa"/>
          <w:left w:w="108" w:type="dxa"/>
          <w:bottom w:w="0" w:type="dxa"/>
          <w:right w:w="108" w:type="dxa"/>
        </w:tblCellMar>
      </w:tblPr>
      <w:tblGrid>
        <w:gridCol w:w="850"/>
        <w:gridCol w:w="2268"/>
        <w:gridCol w:w="2227"/>
        <w:gridCol w:w="1581"/>
      </w:tblGrid>
      <w:tr w14:paraId="363916F7">
        <w:tblPrEx>
          <w:tblCellMar>
            <w:top w:w="0" w:type="dxa"/>
            <w:left w:w="108" w:type="dxa"/>
            <w:bottom w:w="0" w:type="dxa"/>
            <w:right w:w="108" w:type="dxa"/>
          </w:tblCellMar>
        </w:tblPrEx>
        <w:trPr>
          <w:trHeight w:val="643"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ECED">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序号</w:t>
            </w:r>
          </w:p>
        </w:tc>
        <w:tc>
          <w:tcPr>
            <w:tcW w:w="2268" w:type="dxa"/>
            <w:tcBorders>
              <w:top w:val="single" w:color="000000" w:sz="4" w:space="0"/>
              <w:left w:val="nil"/>
              <w:bottom w:val="single" w:color="000000" w:sz="4" w:space="0"/>
              <w:right w:val="single" w:color="000000" w:sz="4" w:space="0"/>
            </w:tcBorders>
            <w:shd w:val="clear" w:color="auto" w:fill="auto"/>
            <w:noWrap/>
            <w:vAlign w:val="center"/>
          </w:tcPr>
          <w:p w14:paraId="3EDB477E">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一级学科代码</w:t>
            </w:r>
          </w:p>
        </w:tc>
        <w:tc>
          <w:tcPr>
            <w:tcW w:w="2227" w:type="dxa"/>
            <w:tcBorders>
              <w:top w:val="single" w:color="000000" w:sz="4" w:space="0"/>
              <w:left w:val="nil"/>
              <w:bottom w:val="single" w:color="000000" w:sz="4" w:space="0"/>
              <w:right w:val="single" w:color="000000" w:sz="4" w:space="0"/>
            </w:tcBorders>
            <w:shd w:val="clear" w:color="auto" w:fill="auto"/>
            <w:vAlign w:val="center"/>
          </w:tcPr>
          <w:p w14:paraId="00775CF8">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一级学科名称</w:t>
            </w:r>
          </w:p>
        </w:tc>
        <w:tc>
          <w:tcPr>
            <w:tcW w:w="1581" w:type="dxa"/>
            <w:tcBorders>
              <w:top w:val="single" w:color="000000" w:sz="4" w:space="0"/>
              <w:left w:val="nil"/>
              <w:bottom w:val="single" w:color="000000" w:sz="4" w:space="0"/>
              <w:right w:val="single" w:color="000000" w:sz="4" w:space="0"/>
            </w:tcBorders>
            <w:shd w:val="clear" w:color="auto" w:fill="auto"/>
            <w:noWrap/>
            <w:vAlign w:val="center"/>
          </w:tcPr>
          <w:p w14:paraId="56475241">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学科门类</w:t>
            </w:r>
          </w:p>
        </w:tc>
      </w:tr>
      <w:tr w14:paraId="62378A6D">
        <w:tblPrEx>
          <w:tblCellMar>
            <w:top w:w="0" w:type="dxa"/>
            <w:left w:w="108" w:type="dxa"/>
            <w:bottom w:w="0" w:type="dxa"/>
            <w:right w:w="108" w:type="dxa"/>
          </w:tblCellMar>
        </w:tblPrEx>
        <w:trPr>
          <w:trHeight w:val="359" w:hRule="atLeast"/>
          <w:jc w:val="center"/>
        </w:trPr>
        <w:tc>
          <w:tcPr>
            <w:tcW w:w="850" w:type="dxa"/>
            <w:tcBorders>
              <w:top w:val="nil"/>
              <w:left w:val="single" w:color="000000" w:sz="4" w:space="0"/>
              <w:bottom w:val="single" w:color="000000" w:sz="4" w:space="0"/>
              <w:right w:val="single" w:color="000000" w:sz="4" w:space="0"/>
            </w:tcBorders>
            <w:shd w:val="clear" w:color="auto" w:fill="auto"/>
            <w:vAlign w:val="center"/>
          </w:tcPr>
          <w:p w14:paraId="653C955D">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w:t>
            </w:r>
          </w:p>
        </w:tc>
        <w:tc>
          <w:tcPr>
            <w:tcW w:w="2268" w:type="dxa"/>
            <w:tcBorders>
              <w:top w:val="nil"/>
              <w:left w:val="nil"/>
              <w:bottom w:val="single" w:color="000000" w:sz="4" w:space="0"/>
              <w:right w:val="single" w:color="000000" w:sz="4" w:space="0"/>
            </w:tcBorders>
            <w:shd w:val="clear" w:color="auto" w:fill="auto"/>
            <w:noWrap/>
            <w:vAlign w:val="center"/>
          </w:tcPr>
          <w:p w14:paraId="03F351D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0829</w:t>
            </w:r>
          </w:p>
        </w:tc>
        <w:tc>
          <w:tcPr>
            <w:tcW w:w="2227" w:type="dxa"/>
            <w:tcBorders>
              <w:top w:val="nil"/>
              <w:left w:val="nil"/>
              <w:bottom w:val="single" w:color="000000" w:sz="4" w:space="0"/>
              <w:right w:val="single" w:color="000000" w:sz="4" w:space="0"/>
            </w:tcBorders>
            <w:shd w:val="clear" w:color="auto" w:fill="auto"/>
            <w:vAlign w:val="center"/>
          </w:tcPr>
          <w:p w14:paraId="404E65A2">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林业工程</w:t>
            </w:r>
          </w:p>
        </w:tc>
        <w:tc>
          <w:tcPr>
            <w:tcW w:w="1581" w:type="dxa"/>
            <w:tcBorders>
              <w:top w:val="nil"/>
              <w:left w:val="nil"/>
              <w:bottom w:val="single" w:color="000000" w:sz="4" w:space="0"/>
              <w:right w:val="single" w:color="000000" w:sz="4" w:space="0"/>
            </w:tcBorders>
            <w:shd w:val="clear" w:color="auto" w:fill="auto"/>
            <w:noWrap/>
            <w:vAlign w:val="center"/>
          </w:tcPr>
          <w:p w14:paraId="793878DB">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工学</w:t>
            </w:r>
          </w:p>
        </w:tc>
      </w:tr>
      <w:tr w14:paraId="6E1AF6BC">
        <w:tblPrEx>
          <w:tblCellMar>
            <w:top w:w="0" w:type="dxa"/>
            <w:left w:w="108" w:type="dxa"/>
            <w:bottom w:w="0" w:type="dxa"/>
            <w:right w:w="108" w:type="dxa"/>
          </w:tblCellMar>
        </w:tblPrEx>
        <w:trPr>
          <w:trHeight w:val="420" w:hRule="atLeast"/>
          <w:jc w:val="center"/>
        </w:trPr>
        <w:tc>
          <w:tcPr>
            <w:tcW w:w="850" w:type="dxa"/>
            <w:tcBorders>
              <w:top w:val="nil"/>
              <w:left w:val="single" w:color="000000" w:sz="4" w:space="0"/>
              <w:bottom w:val="single" w:color="000000" w:sz="4" w:space="0"/>
              <w:right w:val="single" w:color="000000" w:sz="4" w:space="0"/>
            </w:tcBorders>
            <w:shd w:val="clear" w:color="auto" w:fill="auto"/>
            <w:vAlign w:val="center"/>
          </w:tcPr>
          <w:p w14:paraId="5CC7403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2</w:t>
            </w:r>
          </w:p>
        </w:tc>
        <w:tc>
          <w:tcPr>
            <w:tcW w:w="2268" w:type="dxa"/>
            <w:tcBorders>
              <w:top w:val="nil"/>
              <w:left w:val="nil"/>
              <w:bottom w:val="single" w:color="000000" w:sz="4" w:space="0"/>
              <w:right w:val="single" w:color="000000" w:sz="4" w:space="0"/>
            </w:tcBorders>
            <w:shd w:val="clear" w:color="auto" w:fill="auto"/>
            <w:noWrap/>
            <w:vAlign w:val="center"/>
          </w:tcPr>
          <w:p w14:paraId="4D2B516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0834</w:t>
            </w:r>
          </w:p>
        </w:tc>
        <w:tc>
          <w:tcPr>
            <w:tcW w:w="2227" w:type="dxa"/>
            <w:tcBorders>
              <w:top w:val="nil"/>
              <w:left w:val="nil"/>
              <w:bottom w:val="single" w:color="000000" w:sz="4" w:space="0"/>
              <w:right w:val="single" w:color="000000" w:sz="4" w:space="0"/>
            </w:tcBorders>
            <w:shd w:val="clear" w:color="auto" w:fill="auto"/>
            <w:vAlign w:val="center"/>
          </w:tcPr>
          <w:p w14:paraId="6A71EABD">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风景园林学</w:t>
            </w:r>
          </w:p>
        </w:tc>
        <w:tc>
          <w:tcPr>
            <w:tcW w:w="1581" w:type="dxa"/>
            <w:tcBorders>
              <w:top w:val="nil"/>
              <w:left w:val="nil"/>
              <w:bottom w:val="single" w:color="000000" w:sz="4" w:space="0"/>
              <w:right w:val="single" w:color="000000" w:sz="4" w:space="0"/>
            </w:tcBorders>
            <w:shd w:val="clear" w:color="auto" w:fill="auto"/>
            <w:noWrap/>
            <w:vAlign w:val="center"/>
          </w:tcPr>
          <w:p w14:paraId="231EE8A7">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工学</w:t>
            </w:r>
          </w:p>
        </w:tc>
      </w:tr>
      <w:tr w14:paraId="6DAC81CE">
        <w:tblPrEx>
          <w:tblCellMar>
            <w:top w:w="0" w:type="dxa"/>
            <w:left w:w="108" w:type="dxa"/>
            <w:bottom w:w="0" w:type="dxa"/>
            <w:right w:w="108" w:type="dxa"/>
          </w:tblCellMar>
        </w:tblPrEx>
        <w:trPr>
          <w:trHeight w:val="413" w:hRule="atLeast"/>
          <w:jc w:val="center"/>
        </w:trPr>
        <w:tc>
          <w:tcPr>
            <w:tcW w:w="850" w:type="dxa"/>
            <w:tcBorders>
              <w:top w:val="nil"/>
              <w:left w:val="single" w:color="000000" w:sz="4" w:space="0"/>
              <w:bottom w:val="single" w:color="000000" w:sz="4" w:space="0"/>
              <w:right w:val="single" w:color="000000" w:sz="4" w:space="0"/>
            </w:tcBorders>
            <w:shd w:val="clear" w:color="auto" w:fill="auto"/>
            <w:vAlign w:val="center"/>
          </w:tcPr>
          <w:p w14:paraId="6D13C4BB">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3</w:t>
            </w:r>
          </w:p>
        </w:tc>
        <w:tc>
          <w:tcPr>
            <w:tcW w:w="2268" w:type="dxa"/>
            <w:tcBorders>
              <w:top w:val="nil"/>
              <w:left w:val="nil"/>
              <w:bottom w:val="single" w:color="000000" w:sz="4" w:space="0"/>
              <w:right w:val="single" w:color="000000" w:sz="4" w:space="0"/>
            </w:tcBorders>
            <w:shd w:val="clear" w:color="auto" w:fill="auto"/>
            <w:noWrap/>
            <w:vAlign w:val="center"/>
          </w:tcPr>
          <w:p w14:paraId="161A582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0907</w:t>
            </w:r>
          </w:p>
        </w:tc>
        <w:tc>
          <w:tcPr>
            <w:tcW w:w="2227" w:type="dxa"/>
            <w:tcBorders>
              <w:top w:val="nil"/>
              <w:left w:val="nil"/>
              <w:bottom w:val="single" w:color="000000" w:sz="4" w:space="0"/>
              <w:right w:val="single" w:color="000000" w:sz="4" w:space="0"/>
            </w:tcBorders>
            <w:shd w:val="clear" w:color="auto" w:fill="auto"/>
            <w:vAlign w:val="center"/>
          </w:tcPr>
          <w:p w14:paraId="1E30FCED">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林学</w:t>
            </w:r>
          </w:p>
        </w:tc>
        <w:tc>
          <w:tcPr>
            <w:tcW w:w="1581" w:type="dxa"/>
            <w:tcBorders>
              <w:top w:val="nil"/>
              <w:left w:val="nil"/>
              <w:bottom w:val="single" w:color="000000" w:sz="4" w:space="0"/>
              <w:right w:val="single" w:color="000000" w:sz="4" w:space="0"/>
            </w:tcBorders>
            <w:shd w:val="clear" w:color="auto" w:fill="auto"/>
            <w:noWrap/>
            <w:vAlign w:val="center"/>
          </w:tcPr>
          <w:p w14:paraId="127276E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农学</w:t>
            </w:r>
          </w:p>
        </w:tc>
      </w:tr>
      <w:tr w14:paraId="6A4E79A7">
        <w:tblPrEx>
          <w:tblCellMar>
            <w:top w:w="0" w:type="dxa"/>
            <w:left w:w="108" w:type="dxa"/>
            <w:bottom w:w="0" w:type="dxa"/>
            <w:right w:w="108" w:type="dxa"/>
          </w:tblCellMar>
        </w:tblPrEx>
        <w:trPr>
          <w:trHeight w:val="405" w:hRule="atLeast"/>
          <w:jc w:val="center"/>
        </w:trPr>
        <w:tc>
          <w:tcPr>
            <w:tcW w:w="850" w:type="dxa"/>
            <w:tcBorders>
              <w:top w:val="nil"/>
              <w:left w:val="single" w:color="000000" w:sz="4" w:space="0"/>
              <w:bottom w:val="single" w:color="000000" w:sz="4" w:space="0"/>
              <w:right w:val="single" w:color="000000" w:sz="4" w:space="0"/>
            </w:tcBorders>
            <w:shd w:val="clear" w:color="auto" w:fill="auto"/>
            <w:vAlign w:val="center"/>
          </w:tcPr>
          <w:p w14:paraId="653E001B">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4</w:t>
            </w:r>
          </w:p>
        </w:tc>
        <w:tc>
          <w:tcPr>
            <w:tcW w:w="2268" w:type="dxa"/>
            <w:tcBorders>
              <w:top w:val="nil"/>
              <w:left w:val="nil"/>
              <w:bottom w:val="single" w:color="000000" w:sz="4" w:space="0"/>
              <w:right w:val="single" w:color="000000" w:sz="4" w:space="0"/>
            </w:tcBorders>
            <w:shd w:val="clear" w:color="auto" w:fill="auto"/>
            <w:noWrap/>
            <w:vAlign w:val="center"/>
          </w:tcPr>
          <w:p w14:paraId="3DA92BC6">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1203</w:t>
            </w:r>
          </w:p>
        </w:tc>
        <w:tc>
          <w:tcPr>
            <w:tcW w:w="2227" w:type="dxa"/>
            <w:tcBorders>
              <w:top w:val="nil"/>
              <w:left w:val="nil"/>
              <w:bottom w:val="single" w:color="000000" w:sz="4" w:space="0"/>
              <w:right w:val="single" w:color="000000" w:sz="4" w:space="0"/>
            </w:tcBorders>
            <w:shd w:val="clear" w:color="auto" w:fill="auto"/>
            <w:vAlign w:val="center"/>
          </w:tcPr>
          <w:p w14:paraId="65272BD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农林经济管理</w:t>
            </w:r>
          </w:p>
        </w:tc>
        <w:tc>
          <w:tcPr>
            <w:tcW w:w="1581" w:type="dxa"/>
            <w:tcBorders>
              <w:top w:val="nil"/>
              <w:left w:val="nil"/>
              <w:bottom w:val="single" w:color="000000" w:sz="4" w:space="0"/>
              <w:right w:val="single" w:color="000000" w:sz="4" w:space="0"/>
            </w:tcBorders>
            <w:shd w:val="clear" w:color="auto" w:fill="auto"/>
            <w:noWrap/>
            <w:vAlign w:val="center"/>
          </w:tcPr>
          <w:p w14:paraId="64A4C3AD">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管理学</w:t>
            </w:r>
          </w:p>
        </w:tc>
      </w:tr>
    </w:tbl>
    <w:p w14:paraId="16A742AA">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（2）学术型硕士学位授权点分布情况</w:t>
      </w:r>
    </w:p>
    <w:p w14:paraId="547F5C13">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我校学术型硕士学位授权点分布情况如表1-2所示。</w:t>
      </w:r>
    </w:p>
    <w:p w14:paraId="5B919B1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8"/>
          <w:szCs w:val="28"/>
          <w:shd w:val="clear" w:color="auto" w:fill="FFFFFF"/>
        </w:rPr>
      </w:pPr>
      <w:r>
        <w:rPr>
          <w:rFonts w:hint="default" w:ascii="Times New Roman" w:hAnsi="Times New Roman" w:eastAsia="方正仿宋_GBK" w:cs="Times New Roman"/>
          <w:sz w:val="28"/>
          <w:szCs w:val="28"/>
          <w:shd w:val="clear" w:color="auto" w:fill="FFFFFF"/>
        </w:rPr>
        <w:t>表1-2 2021年西南林业大学学术型硕士学位授权点分布情况表</w:t>
      </w:r>
    </w:p>
    <w:tbl>
      <w:tblPr>
        <w:tblStyle w:val="8"/>
        <w:tblW w:w="6951" w:type="dxa"/>
        <w:jc w:val="center"/>
        <w:tblLayout w:type="autofit"/>
        <w:tblCellMar>
          <w:top w:w="0" w:type="dxa"/>
          <w:left w:w="108" w:type="dxa"/>
          <w:bottom w:w="0" w:type="dxa"/>
          <w:right w:w="108" w:type="dxa"/>
        </w:tblCellMar>
      </w:tblPr>
      <w:tblGrid>
        <w:gridCol w:w="980"/>
        <w:gridCol w:w="2143"/>
        <w:gridCol w:w="2410"/>
        <w:gridCol w:w="1418"/>
      </w:tblGrid>
      <w:tr w14:paraId="65EB140D">
        <w:tblPrEx>
          <w:tblCellMar>
            <w:top w:w="0" w:type="dxa"/>
            <w:left w:w="108" w:type="dxa"/>
            <w:bottom w:w="0" w:type="dxa"/>
            <w:right w:w="108" w:type="dxa"/>
          </w:tblCellMar>
        </w:tblPrEx>
        <w:trPr>
          <w:trHeight w:val="557" w:hRule="atLeast"/>
          <w:tblHeader/>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20DD">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序号</w:t>
            </w:r>
          </w:p>
        </w:tc>
        <w:tc>
          <w:tcPr>
            <w:tcW w:w="2143" w:type="dxa"/>
            <w:tcBorders>
              <w:top w:val="single" w:color="000000" w:sz="4" w:space="0"/>
              <w:left w:val="nil"/>
              <w:bottom w:val="single" w:color="000000" w:sz="4" w:space="0"/>
              <w:right w:val="single" w:color="000000" w:sz="4" w:space="0"/>
            </w:tcBorders>
            <w:shd w:val="clear" w:color="auto" w:fill="auto"/>
            <w:vAlign w:val="center"/>
          </w:tcPr>
          <w:p w14:paraId="064B0E79">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一级学科代码</w:t>
            </w:r>
          </w:p>
        </w:tc>
        <w:tc>
          <w:tcPr>
            <w:tcW w:w="2410" w:type="dxa"/>
            <w:tcBorders>
              <w:top w:val="single" w:color="000000" w:sz="4" w:space="0"/>
              <w:left w:val="nil"/>
              <w:bottom w:val="single" w:color="000000" w:sz="4" w:space="0"/>
              <w:right w:val="single" w:color="000000" w:sz="4" w:space="0"/>
            </w:tcBorders>
            <w:shd w:val="clear" w:color="auto" w:fill="auto"/>
            <w:vAlign w:val="center"/>
          </w:tcPr>
          <w:p w14:paraId="16D67841">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一级学科名称</w:t>
            </w:r>
          </w:p>
        </w:tc>
        <w:tc>
          <w:tcPr>
            <w:tcW w:w="1418" w:type="dxa"/>
            <w:tcBorders>
              <w:top w:val="single" w:color="000000" w:sz="4" w:space="0"/>
              <w:left w:val="nil"/>
              <w:bottom w:val="single" w:color="000000" w:sz="4" w:space="0"/>
              <w:right w:val="single" w:color="000000" w:sz="4" w:space="0"/>
            </w:tcBorders>
            <w:shd w:val="clear" w:color="auto" w:fill="auto"/>
            <w:vAlign w:val="center"/>
          </w:tcPr>
          <w:p w14:paraId="2BC053EB">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学科门类</w:t>
            </w:r>
          </w:p>
        </w:tc>
      </w:tr>
      <w:tr w14:paraId="31D7A691">
        <w:tblPrEx>
          <w:tblCellMar>
            <w:top w:w="0" w:type="dxa"/>
            <w:left w:w="108" w:type="dxa"/>
            <w:bottom w:w="0" w:type="dxa"/>
            <w:right w:w="108" w:type="dxa"/>
          </w:tblCellMar>
        </w:tblPrEx>
        <w:trPr>
          <w:trHeight w:val="348"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41FB3222">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w:t>
            </w:r>
          </w:p>
        </w:tc>
        <w:tc>
          <w:tcPr>
            <w:tcW w:w="2143" w:type="dxa"/>
            <w:tcBorders>
              <w:top w:val="nil"/>
              <w:left w:val="nil"/>
              <w:bottom w:val="single" w:color="000000" w:sz="4" w:space="0"/>
              <w:right w:val="single" w:color="000000" w:sz="4" w:space="0"/>
            </w:tcBorders>
            <w:shd w:val="clear" w:color="auto" w:fill="auto"/>
            <w:vAlign w:val="center"/>
          </w:tcPr>
          <w:p w14:paraId="25A9F13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0305</w:t>
            </w:r>
          </w:p>
        </w:tc>
        <w:tc>
          <w:tcPr>
            <w:tcW w:w="2410" w:type="dxa"/>
            <w:tcBorders>
              <w:top w:val="nil"/>
              <w:left w:val="nil"/>
              <w:bottom w:val="single" w:color="000000" w:sz="4" w:space="0"/>
              <w:right w:val="single" w:color="000000" w:sz="4" w:space="0"/>
            </w:tcBorders>
            <w:shd w:val="clear" w:color="auto" w:fill="auto"/>
            <w:vAlign w:val="center"/>
          </w:tcPr>
          <w:p w14:paraId="74C12C58">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马克思主义理论</w:t>
            </w:r>
          </w:p>
        </w:tc>
        <w:tc>
          <w:tcPr>
            <w:tcW w:w="1418" w:type="dxa"/>
            <w:tcBorders>
              <w:top w:val="nil"/>
              <w:left w:val="nil"/>
              <w:bottom w:val="single" w:color="000000" w:sz="4" w:space="0"/>
              <w:right w:val="single" w:color="000000" w:sz="4" w:space="0"/>
            </w:tcBorders>
            <w:shd w:val="clear" w:color="auto" w:fill="auto"/>
            <w:noWrap/>
            <w:vAlign w:val="center"/>
          </w:tcPr>
          <w:p w14:paraId="7EC09D48">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法学</w:t>
            </w:r>
          </w:p>
        </w:tc>
      </w:tr>
      <w:tr w14:paraId="30EE6A92">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346E145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2</w:t>
            </w:r>
          </w:p>
        </w:tc>
        <w:tc>
          <w:tcPr>
            <w:tcW w:w="2143" w:type="dxa"/>
            <w:tcBorders>
              <w:top w:val="nil"/>
              <w:left w:val="nil"/>
              <w:bottom w:val="single" w:color="000000" w:sz="4" w:space="0"/>
              <w:right w:val="single" w:color="000000" w:sz="4" w:space="0"/>
            </w:tcBorders>
            <w:shd w:val="clear" w:color="auto" w:fill="auto"/>
            <w:vAlign w:val="center"/>
          </w:tcPr>
          <w:p w14:paraId="543236F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0703</w:t>
            </w:r>
          </w:p>
        </w:tc>
        <w:tc>
          <w:tcPr>
            <w:tcW w:w="2410" w:type="dxa"/>
            <w:tcBorders>
              <w:top w:val="nil"/>
              <w:left w:val="nil"/>
              <w:bottom w:val="single" w:color="000000" w:sz="4" w:space="0"/>
              <w:right w:val="single" w:color="000000" w:sz="4" w:space="0"/>
            </w:tcBorders>
            <w:shd w:val="clear" w:color="auto" w:fill="auto"/>
            <w:vAlign w:val="center"/>
          </w:tcPr>
          <w:p w14:paraId="530B72F5">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化学</w:t>
            </w:r>
          </w:p>
        </w:tc>
        <w:tc>
          <w:tcPr>
            <w:tcW w:w="1418" w:type="dxa"/>
            <w:tcBorders>
              <w:top w:val="nil"/>
              <w:left w:val="nil"/>
              <w:bottom w:val="single" w:color="000000" w:sz="4" w:space="0"/>
              <w:right w:val="single" w:color="000000" w:sz="4" w:space="0"/>
            </w:tcBorders>
            <w:shd w:val="clear" w:color="auto" w:fill="auto"/>
            <w:noWrap/>
            <w:vAlign w:val="center"/>
          </w:tcPr>
          <w:p w14:paraId="67D6CFB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理学</w:t>
            </w:r>
          </w:p>
        </w:tc>
      </w:tr>
      <w:tr w14:paraId="71C962C6">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374EDE5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3</w:t>
            </w:r>
          </w:p>
        </w:tc>
        <w:tc>
          <w:tcPr>
            <w:tcW w:w="2143" w:type="dxa"/>
            <w:tcBorders>
              <w:top w:val="nil"/>
              <w:left w:val="nil"/>
              <w:bottom w:val="single" w:color="000000" w:sz="4" w:space="0"/>
              <w:right w:val="single" w:color="000000" w:sz="4" w:space="0"/>
            </w:tcBorders>
            <w:shd w:val="clear" w:color="auto" w:fill="auto"/>
            <w:vAlign w:val="center"/>
          </w:tcPr>
          <w:p w14:paraId="290438C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0705 </w:t>
            </w:r>
          </w:p>
        </w:tc>
        <w:tc>
          <w:tcPr>
            <w:tcW w:w="2410" w:type="dxa"/>
            <w:tcBorders>
              <w:top w:val="nil"/>
              <w:left w:val="nil"/>
              <w:bottom w:val="single" w:color="000000" w:sz="4" w:space="0"/>
              <w:right w:val="single" w:color="000000" w:sz="4" w:space="0"/>
            </w:tcBorders>
            <w:shd w:val="clear" w:color="auto" w:fill="auto"/>
            <w:vAlign w:val="center"/>
          </w:tcPr>
          <w:p w14:paraId="000E87A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地理学</w:t>
            </w:r>
          </w:p>
        </w:tc>
        <w:tc>
          <w:tcPr>
            <w:tcW w:w="1418" w:type="dxa"/>
            <w:tcBorders>
              <w:top w:val="nil"/>
              <w:left w:val="nil"/>
              <w:bottom w:val="single" w:color="000000" w:sz="4" w:space="0"/>
              <w:right w:val="single" w:color="000000" w:sz="4" w:space="0"/>
            </w:tcBorders>
            <w:shd w:val="clear" w:color="auto" w:fill="auto"/>
            <w:noWrap/>
            <w:vAlign w:val="center"/>
          </w:tcPr>
          <w:p w14:paraId="56DFF761">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理学</w:t>
            </w:r>
          </w:p>
        </w:tc>
      </w:tr>
      <w:tr w14:paraId="5BC4E8F3">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205B726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4</w:t>
            </w:r>
          </w:p>
        </w:tc>
        <w:tc>
          <w:tcPr>
            <w:tcW w:w="2143" w:type="dxa"/>
            <w:tcBorders>
              <w:top w:val="nil"/>
              <w:left w:val="nil"/>
              <w:bottom w:val="single" w:color="000000" w:sz="4" w:space="0"/>
              <w:right w:val="single" w:color="000000" w:sz="4" w:space="0"/>
            </w:tcBorders>
            <w:shd w:val="clear" w:color="auto" w:fill="auto"/>
            <w:vAlign w:val="center"/>
          </w:tcPr>
          <w:p w14:paraId="24AAF8D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0710 </w:t>
            </w:r>
          </w:p>
        </w:tc>
        <w:tc>
          <w:tcPr>
            <w:tcW w:w="2410" w:type="dxa"/>
            <w:tcBorders>
              <w:top w:val="nil"/>
              <w:left w:val="nil"/>
              <w:bottom w:val="single" w:color="000000" w:sz="4" w:space="0"/>
              <w:right w:val="single" w:color="000000" w:sz="4" w:space="0"/>
            </w:tcBorders>
            <w:shd w:val="clear" w:color="auto" w:fill="auto"/>
            <w:vAlign w:val="center"/>
          </w:tcPr>
          <w:p w14:paraId="2B8CD35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生物学</w:t>
            </w:r>
          </w:p>
        </w:tc>
        <w:tc>
          <w:tcPr>
            <w:tcW w:w="1418" w:type="dxa"/>
            <w:tcBorders>
              <w:top w:val="nil"/>
              <w:left w:val="nil"/>
              <w:bottom w:val="single" w:color="000000" w:sz="4" w:space="0"/>
              <w:right w:val="single" w:color="000000" w:sz="4" w:space="0"/>
            </w:tcBorders>
            <w:shd w:val="clear" w:color="auto" w:fill="auto"/>
            <w:noWrap/>
            <w:vAlign w:val="center"/>
          </w:tcPr>
          <w:p w14:paraId="16EF955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理学</w:t>
            </w:r>
          </w:p>
        </w:tc>
      </w:tr>
      <w:tr w14:paraId="370AD56A">
        <w:tblPrEx>
          <w:tblCellMar>
            <w:top w:w="0" w:type="dxa"/>
            <w:left w:w="108" w:type="dxa"/>
            <w:bottom w:w="0" w:type="dxa"/>
            <w:right w:w="108" w:type="dxa"/>
          </w:tblCellMar>
        </w:tblPrEx>
        <w:trPr>
          <w:trHeight w:val="348"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0FECC7E3">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5</w:t>
            </w:r>
          </w:p>
        </w:tc>
        <w:tc>
          <w:tcPr>
            <w:tcW w:w="2143" w:type="dxa"/>
            <w:tcBorders>
              <w:top w:val="nil"/>
              <w:left w:val="nil"/>
              <w:bottom w:val="single" w:color="000000" w:sz="4" w:space="0"/>
              <w:right w:val="single" w:color="000000" w:sz="4" w:space="0"/>
            </w:tcBorders>
            <w:shd w:val="clear" w:color="auto" w:fill="auto"/>
            <w:vAlign w:val="center"/>
          </w:tcPr>
          <w:p w14:paraId="7DF94E62">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0711</w:t>
            </w:r>
          </w:p>
        </w:tc>
        <w:tc>
          <w:tcPr>
            <w:tcW w:w="2410" w:type="dxa"/>
            <w:tcBorders>
              <w:top w:val="nil"/>
              <w:left w:val="nil"/>
              <w:bottom w:val="single" w:color="000000" w:sz="4" w:space="0"/>
              <w:right w:val="single" w:color="000000" w:sz="4" w:space="0"/>
            </w:tcBorders>
            <w:shd w:val="clear" w:color="auto" w:fill="auto"/>
            <w:vAlign w:val="center"/>
          </w:tcPr>
          <w:p w14:paraId="081FB21D">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系统科学</w:t>
            </w:r>
          </w:p>
        </w:tc>
        <w:tc>
          <w:tcPr>
            <w:tcW w:w="1418" w:type="dxa"/>
            <w:tcBorders>
              <w:top w:val="nil"/>
              <w:left w:val="nil"/>
              <w:bottom w:val="single" w:color="000000" w:sz="4" w:space="0"/>
              <w:right w:val="single" w:color="000000" w:sz="4" w:space="0"/>
            </w:tcBorders>
            <w:shd w:val="clear" w:color="auto" w:fill="auto"/>
            <w:noWrap/>
            <w:vAlign w:val="center"/>
          </w:tcPr>
          <w:p w14:paraId="4736B11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理学</w:t>
            </w:r>
          </w:p>
        </w:tc>
      </w:tr>
      <w:tr w14:paraId="0A2C996D">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7A75DCFD">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6</w:t>
            </w:r>
          </w:p>
        </w:tc>
        <w:tc>
          <w:tcPr>
            <w:tcW w:w="2143" w:type="dxa"/>
            <w:tcBorders>
              <w:top w:val="nil"/>
              <w:left w:val="nil"/>
              <w:bottom w:val="single" w:color="000000" w:sz="4" w:space="0"/>
              <w:right w:val="single" w:color="000000" w:sz="4" w:space="0"/>
            </w:tcBorders>
            <w:shd w:val="clear" w:color="auto" w:fill="auto"/>
            <w:vAlign w:val="center"/>
          </w:tcPr>
          <w:p w14:paraId="726F7878">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0713</w:t>
            </w:r>
          </w:p>
        </w:tc>
        <w:tc>
          <w:tcPr>
            <w:tcW w:w="2410" w:type="dxa"/>
            <w:tcBorders>
              <w:top w:val="nil"/>
              <w:left w:val="nil"/>
              <w:bottom w:val="single" w:color="000000" w:sz="4" w:space="0"/>
              <w:right w:val="single" w:color="000000" w:sz="4" w:space="0"/>
            </w:tcBorders>
            <w:shd w:val="clear" w:color="auto" w:fill="auto"/>
            <w:vAlign w:val="center"/>
          </w:tcPr>
          <w:p w14:paraId="49A15BC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生态学</w:t>
            </w:r>
          </w:p>
        </w:tc>
        <w:tc>
          <w:tcPr>
            <w:tcW w:w="1418" w:type="dxa"/>
            <w:tcBorders>
              <w:top w:val="nil"/>
              <w:left w:val="nil"/>
              <w:bottom w:val="single" w:color="000000" w:sz="4" w:space="0"/>
              <w:right w:val="single" w:color="000000" w:sz="4" w:space="0"/>
            </w:tcBorders>
            <w:shd w:val="clear" w:color="auto" w:fill="auto"/>
            <w:noWrap/>
            <w:vAlign w:val="center"/>
          </w:tcPr>
          <w:p w14:paraId="229C234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理学</w:t>
            </w:r>
          </w:p>
        </w:tc>
      </w:tr>
      <w:tr w14:paraId="59DEC847">
        <w:tblPrEx>
          <w:tblCellMar>
            <w:top w:w="0" w:type="dxa"/>
            <w:left w:w="108" w:type="dxa"/>
            <w:bottom w:w="0" w:type="dxa"/>
            <w:right w:w="108" w:type="dxa"/>
          </w:tblCellMar>
        </w:tblPrEx>
        <w:trPr>
          <w:trHeight w:val="348"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7665FF56">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7</w:t>
            </w:r>
          </w:p>
        </w:tc>
        <w:tc>
          <w:tcPr>
            <w:tcW w:w="2143" w:type="dxa"/>
            <w:tcBorders>
              <w:top w:val="nil"/>
              <w:left w:val="nil"/>
              <w:bottom w:val="single" w:color="000000" w:sz="4" w:space="0"/>
              <w:right w:val="single" w:color="000000" w:sz="4" w:space="0"/>
            </w:tcBorders>
            <w:shd w:val="clear" w:color="auto" w:fill="auto"/>
            <w:vAlign w:val="center"/>
          </w:tcPr>
          <w:p w14:paraId="2DF62ED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0802</w:t>
            </w:r>
          </w:p>
        </w:tc>
        <w:tc>
          <w:tcPr>
            <w:tcW w:w="2410" w:type="dxa"/>
            <w:tcBorders>
              <w:top w:val="nil"/>
              <w:left w:val="nil"/>
              <w:bottom w:val="single" w:color="000000" w:sz="4" w:space="0"/>
              <w:right w:val="single" w:color="000000" w:sz="4" w:space="0"/>
            </w:tcBorders>
            <w:shd w:val="clear" w:color="auto" w:fill="auto"/>
            <w:vAlign w:val="center"/>
          </w:tcPr>
          <w:p w14:paraId="0807B3E9">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机械工程</w:t>
            </w:r>
          </w:p>
        </w:tc>
        <w:tc>
          <w:tcPr>
            <w:tcW w:w="1418" w:type="dxa"/>
            <w:tcBorders>
              <w:top w:val="nil"/>
              <w:left w:val="nil"/>
              <w:bottom w:val="single" w:color="000000" w:sz="4" w:space="0"/>
              <w:right w:val="single" w:color="000000" w:sz="4" w:space="0"/>
            </w:tcBorders>
            <w:shd w:val="clear" w:color="auto" w:fill="auto"/>
            <w:noWrap/>
            <w:vAlign w:val="center"/>
          </w:tcPr>
          <w:p w14:paraId="66D533F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工学</w:t>
            </w:r>
          </w:p>
        </w:tc>
      </w:tr>
      <w:tr w14:paraId="3304EFFA">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0E66E93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8</w:t>
            </w:r>
          </w:p>
        </w:tc>
        <w:tc>
          <w:tcPr>
            <w:tcW w:w="2143" w:type="dxa"/>
            <w:tcBorders>
              <w:top w:val="nil"/>
              <w:left w:val="nil"/>
              <w:bottom w:val="single" w:color="000000" w:sz="4" w:space="0"/>
              <w:right w:val="single" w:color="000000" w:sz="4" w:space="0"/>
            </w:tcBorders>
            <w:shd w:val="clear" w:color="auto" w:fill="auto"/>
            <w:vAlign w:val="center"/>
          </w:tcPr>
          <w:p w14:paraId="3873587D">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0805</w:t>
            </w:r>
          </w:p>
        </w:tc>
        <w:tc>
          <w:tcPr>
            <w:tcW w:w="2410" w:type="dxa"/>
            <w:tcBorders>
              <w:top w:val="nil"/>
              <w:left w:val="nil"/>
              <w:bottom w:val="single" w:color="000000" w:sz="4" w:space="0"/>
              <w:right w:val="single" w:color="000000" w:sz="4" w:space="0"/>
            </w:tcBorders>
            <w:shd w:val="clear" w:color="auto" w:fill="auto"/>
            <w:vAlign w:val="center"/>
          </w:tcPr>
          <w:p w14:paraId="25332F3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材料科学与工程</w:t>
            </w:r>
          </w:p>
        </w:tc>
        <w:tc>
          <w:tcPr>
            <w:tcW w:w="1418" w:type="dxa"/>
            <w:tcBorders>
              <w:top w:val="nil"/>
              <w:left w:val="nil"/>
              <w:bottom w:val="single" w:color="000000" w:sz="4" w:space="0"/>
              <w:right w:val="single" w:color="000000" w:sz="4" w:space="0"/>
            </w:tcBorders>
            <w:shd w:val="clear" w:color="auto" w:fill="auto"/>
            <w:noWrap/>
            <w:vAlign w:val="center"/>
          </w:tcPr>
          <w:p w14:paraId="1243C8C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工学</w:t>
            </w:r>
          </w:p>
        </w:tc>
      </w:tr>
      <w:tr w14:paraId="6B76CC11">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305A2AC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9</w:t>
            </w:r>
          </w:p>
        </w:tc>
        <w:tc>
          <w:tcPr>
            <w:tcW w:w="2143" w:type="dxa"/>
            <w:tcBorders>
              <w:top w:val="nil"/>
              <w:left w:val="nil"/>
              <w:bottom w:val="single" w:color="000000" w:sz="4" w:space="0"/>
              <w:right w:val="single" w:color="000000" w:sz="4" w:space="0"/>
            </w:tcBorders>
            <w:shd w:val="clear" w:color="auto" w:fill="auto"/>
            <w:vAlign w:val="center"/>
          </w:tcPr>
          <w:p w14:paraId="4AD9C32F">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0829</w:t>
            </w:r>
          </w:p>
        </w:tc>
        <w:tc>
          <w:tcPr>
            <w:tcW w:w="2410" w:type="dxa"/>
            <w:tcBorders>
              <w:top w:val="nil"/>
              <w:left w:val="nil"/>
              <w:bottom w:val="single" w:color="000000" w:sz="4" w:space="0"/>
              <w:right w:val="single" w:color="000000" w:sz="4" w:space="0"/>
            </w:tcBorders>
            <w:shd w:val="clear" w:color="auto" w:fill="auto"/>
            <w:vAlign w:val="center"/>
          </w:tcPr>
          <w:p w14:paraId="7404082F">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林业工程</w:t>
            </w:r>
          </w:p>
        </w:tc>
        <w:tc>
          <w:tcPr>
            <w:tcW w:w="1418" w:type="dxa"/>
            <w:tcBorders>
              <w:top w:val="nil"/>
              <w:left w:val="nil"/>
              <w:bottom w:val="single" w:color="000000" w:sz="4" w:space="0"/>
              <w:right w:val="single" w:color="000000" w:sz="4" w:space="0"/>
            </w:tcBorders>
            <w:shd w:val="clear" w:color="auto" w:fill="auto"/>
            <w:noWrap/>
            <w:vAlign w:val="center"/>
          </w:tcPr>
          <w:p w14:paraId="6255AD31">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工学</w:t>
            </w:r>
          </w:p>
        </w:tc>
      </w:tr>
      <w:tr w14:paraId="1CC1776F">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18537AED">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10</w:t>
            </w:r>
          </w:p>
        </w:tc>
        <w:tc>
          <w:tcPr>
            <w:tcW w:w="2143" w:type="dxa"/>
            <w:tcBorders>
              <w:top w:val="nil"/>
              <w:left w:val="nil"/>
              <w:bottom w:val="single" w:color="000000" w:sz="4" w:space="0"/>
              <w:right w:val="single" w:color="000000" w:sz="4" w:space="0"/>
            </w:tcBorders>
            <w:shd w:val="clear" w:color="auto" w:fill="auto"/>
            <w:vAlign w:val="center"/>
          </w:tcPr>
          <w:p w14:paraId="576EC576">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0834</w:t>
            </w:r>
          </w:p>
        </w:tc>
        <w:tc>
          <w:tcPr>
            <w:tcW w:w="2410" w:type="dxa"/>
            <w:tcBorders>
              <w:top w:val="nil"/>
              <w:left w:val="nil"/>
              <w:bottom w:val="single" w:color="000000" w:sz="4" w:space="0"/>
              <w:right w:val="single" w:color="000000" w:sz="4" w:space="0"/>
            </w:tcBorders>
            <w:shd w:val="clear" w:color="auto" w:fill="auto"/>
            <w:vAlign w:val="center"/>
          </w:tcPr>
          <w:p w14:paraId="1E06AA57">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 风景园林学</w:t>
            </w:r>
          </w:p>
        </w:tc>
        <w:tc>
          <w:tcPr>
            <w:tcW w:w="1418" w:type="dxa"/>
            <w:tcBorders>
              <w:top w:val="nil"/>
              <w:left w:val="nil"/>
              <w:bottom w:val="single" w:color="000000" w:sz="4" w:space="0"/>
              <w:right w:val="single" w:color="000000" w:sz="4" w:space="0"/>
            </w:tcBorders>
            <w:shd w:val="clear" w:color="auto" w:fill="auto"/>
            <w:noWrap/>
            <w:vAlign w:val="center"/>
          </w:tcPr>
          <w:p w14:paraId="032DFDE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工学</w:t>
            </w:r>
          </w:p>
        </w:tc>
      </w:tr>
      <w:tr w14:paraId="427F288E">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76C2332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11</w:t>
            </w:r>
          </w:p>
        </w:tc>
        <w:tc>
          <w:tcPr>
            <w:tcW w:w="2143" w:type="dxa"/>
            <w:tcBorders>
              <w:top w:val="nil"/>
              <w:left w:val="nil"/>
              <w:bottom w:val="single" w:color="000000" w:sz="4" w:space="0"/>
              <w:right w:val="single" w:color="000000" w:sz="4" w:space="0"/>
            </w:tcBorders>
            <w:shd w:val="clear" w:color="auto" w:fill="auto"/>
            <w:vAlign w:val="center"/>
          </w:tcPr>
          <w:p w14:paraId="5D5B394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0902</w:t>
            </w:r>
          </w:p>
        </w:tc>
        <w:tc>
          <w:tcPr>
            <w:tcW w:w="2410" w:type="dxa"/>
            <w:tcBorders>
              <w:top w:val="nil"/>
              <w:left w:val="nil"/>
              <w:bottom w:val="single" w:color="000000" w:sz="4" w:space="0"/>
              <w:right w:val="single" w:color="000000" w:sz="4" w:space="0"/>
            </w:tcBorders>
            <w:shd w:val="clear" w:color="auto" w:fill="auto"/>
            <w:vAlign w:val="center"/>
          </w:tcPr>
          <w:p w14:paraId="43E0334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 园艺学</w:t>
            </w:r>
          </w:p>
        </w:tc>
        <w:tc>
          <w:tcPr>
            <w:tcW w:w="1418" w:type="dxa"/>
            <w:tcBorders>
              <w:top w:val="nil"/>
              <w:left w:val="nil"/>
              <w:bottom w:val="single" w:color="000000" w:sz="4" w:space="0"/>
              <w:right w:val="single" w:color="000000" w:sz="4" w:space="0"/>
            </w:tcBorders>
            <w:shd w:val="clear" w:color="auto" w:fill="auto"/>
            <w:noWrap/>
            <w:vAlign w:val="center"/>
          </w:tcPr>
          <w:p w14:paraId="597EF55F">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农学</w:t>
            </w:r>
          </w:p>
        </w:tc>
      </w:tr>
      <w:tr w14:paraId="3015CD3D">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4CDD6D4D">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12</w:t>
            </w:r>
          </w:p>
        </w:tc>
        <w:tc>
          <w:tcPr>
            <w:tcW w:w="2143" w:type="dxa"/>
            <w:tcBorders>
              <w:top w:val="nil"/>
              <w:left w:val="nil"/>
              <w:bottom w:val="single" w:color="000000" w:sz="4" w:space="0"/>
              <w:right w:val="single" w:color="000000" w:sz="4" w:space="0"/>
            </w:tcBorders>
            <w:shd w:val="clear" w:color="auto" w:fill="auto"/>
            <w:vAlign w:val="center"/>
          </w:tcPr>
          <w:p w14:paraId="040EFF87">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0907</w:t>
            </w:r>
          </w:p>
        </w:tc>
        <w:tc>
          <w:tcPr>
            <w:tcW w:w="2410" w:type="dxa"/>
            <w:tcBorders>
              <w:top w:val="nil"/>
              <w:left w:val="nil"/>
              <w:bottom w:val="single" w:color="000000" w:sz="4" w:space="0"/>
              <w:right w:val="single" w:color="000000" w:sz="4" w:space="0"/>
            </w:tcBorders>
            <w:shd w:val="clear" w:color="auto" w:fill="auto"/>
            <w:vAlign w:val="center"/>
          </w:tcPr>
          <w:p w14:paraId="267F94B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林学</w:t>
            </w:r>
          </w:p>
        </w:tc>
        <w:tc>
          <w:tcPr>
            <w:tcW w:w="1418" w:type="dxa"/>
            <w:tcBorders>
              <w:top w:val="nil"/>
              <w:left w:val="nil"/>
              <w:bottom w:val="single" w:color="000000" w:sz="4" w:space="0"/>
              <w:right w:val="single" w:color="000000" w:sz="4" w:space="0"/>
            </w:tcBorders>
            <w:shd w:val="clear" w:color="auto" w:fill="auto"/>
            <w:noWrap/>
            <w:vAlign w:val="center"/>
          </w:tcPr>
          <w:p w14:paraId="4D194E78">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农学</w:t>
            </w:r>
          </w:p>
        </w:tc>
      </w:tr>
      <w:tr w14:paraId="365C15C3">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68B46642">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13</w:t>
            </w:r>
          </w:p>
        </w:tc>
        <w:tc>
          <w:tcPr>
            <w:tcW w:w="2143" w:type="dxa"/>
            <w:tcBorders>
              <w:top w:val="nil"/>
              <w:left w:val="nil"/>
              <w:bottom w:val="single" w:color="000000" w:sz="4" w:space="0"/>
              <w:right w:val="single" w:color="000000" w:sz="4" w:space="0"/>
            </w:tcBorders>
            <w:shd w:val="clear" w:color="auto" w:fill="auto"/>
            <w:vAlign w:val="center"/>
          </w:tcPr>
          <w:p w14:paraId="65C861AF">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1202 </w:t>
            </w:r>
          </w:p>
        </w:tc>
        <w:tc>
          <w:tcPr>
            <w:tcW w:w="2410" w:type="dxa"/>
            <w:tcBorders>
              <w:top w:val="nil"/>
              <w:left w:val="nil"/>
              <w:bottom w:val="single" w:color="000000" w:sz="4" w:space="0"/>
              <w:right w:val="single" w:color="000000" w:sz="4" w:space="0"/>
            </w:tcBorders>
            <w:shd w:val="clear" w:color="auto" w:fill="auto"/>
            <w:vAlign w:val="center"/>
          </w:tcPr>
          <w:p w14:paraId="6EEB054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工商管理</w:t>
            </w:r>
          </w:p>
        </w:tc>
        <w:tc>
          <w:tcPr>
            <w:tcW w:w="1418" w:type="dxa"/>
            <w:tcBorders>
              <w:top w:val="nil"/>
              <w:left w:val="nil"/>
              <w:bottom w:val="single" w:color="000000" w:sz="4" w:space="0"/>
              <w:right w:val="single" w:color="000000" w:sz="4" w:space="0"/>
            </w:tcBorders>
            <w:shd w:val="clear" w:color="auto" w:fill="auto"/>
            <w:noWrap/>
            <w:vAlign w:val="center"/>
          </w:tcPr>
          <w:p w14:paraId="016FAE5F">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管理学</w:t>
            </w:r>
          </w:p>
        </w:tc>
      </w:tr>
      <w:tr w14:paraId="6411F432">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7663B9D8">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14</w:t>
            </w:r>
          </w:p>
        </w:tc>
        <w:tc>
          <w:tcPr>
            <w:tcW w:w="2143" w:type="dxa"/>
            <w:tcBorders>
              <w:top w:val="nil"/>
              <w:left w:val="nil"/>
              <w:bottom w:val="single" w:color="000000" w:sz="4" w:space="0"/>
              <w:right w:val="single" w:color="000000" w:sz="4" w:space="0"/>
            </w:tcBorders>
            <w:shd w:val="clear" w:color="auto" w:fill="auto"/>
            <w:vAlign w:val="center"/>
          </w:tcPr>
          <w:p w14:paraId="7C1C64E1">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1203</w:t>
            </w:r>
          </w:p>
        </w:tc>
        <w:tc>
          <w:tcPr>
            <w:tcW w:w="2410" w:type="dxa"/>
            <w:tcBorders>
              <w:top w:val="nil"/>
              <w:left w:val="nil"/>
              <w:bottom w:val="single" w:color="000000" w:sz="4" w:space="0"/>
              <w:right w:val="single" w:color="000000" w:sz="4" w:space="0"/>
            </w:tcBorders>
            <w:shd w:val="clear" w:color="auto" w:fill="auto"/>
            <w:vAlign w:val="center"/>
          </w:tcPr>
          <w:p w14:paraId="5BE60BD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 农林经济管理</w:t>
            </w:r>
          </w:p>
        </w:tc>
        <w:tc>
          <w:tcPr>
            <w:tcW w:w="1418" w:type="dxa"/>
            <w:tcBorders>
              <w:top w:val="nil"/>
              <w:left w:val="nil"/>
              <w:bottom w:val="single" w:color="000000" w:sz="4" w:space="0"/>
              <w:right w:val="single" w:color="000000" w:sz="4" w:space="0"/>
            </w:tcBorders>
            <w:shd w:val="clear" w:color="auto" w:fill="auto"/>
            <w:noWrap/>
            <w:vAlign w:val="center"/>
          </w:tcPr>
          <w:p w14:paraId="2019E9D9">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管理学</w:t>
            </w:r>
          </w:p>
        </w:tc>
      </w:tr>
      <w:tr w14:paraId="6802C9BB">
        <w:tblPrEx>
          <w:tblCellMar>
            <w:top w:w="0" w:type="dxa"/>
            <w:left w:w="108" w:type="dxa"/>
            <w:bottom w:w="0" w:type="dxa"/>
            <w:right w:w="108" w:type="dxa"/>
          </w:tblCellMar>
        </w:tblPrEx>
        <w:trPr>
          <w:trHeight w:val="274"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41B800F9">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15</w:t>
            </w:r>
          </w:p>
        </w:tc>
        <w:tc>
          <w:tcPr>
            <w:tcW w:w="2143" w:type="dxa"/>
            <w:tcBorders>
              <w:top w:val="nil"/>
              <w:left w:val="nil"/>
              <w:bottom w:val="single" w:color="000000" w:sz="4" w:space="0"/>
              <w:right w:val="single" w:color="000000" w:sz="4" w:space="0"/>
            </w:tcBorders>
            <w:shd w:val="clear" w:color="auto" w:fill="auto"/>
            <w:vAlign w:val="center"/>
          </w:tcPr>
          <w:p w14:paraId="11CF928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1305</w:t>
            </w:r>
          </w:p>
        </w:tc>
        <w:tc>
          <w:tcPr>
            <w:tcW w:w="2410" w:type="dxa"/>
            <w:tcBorders>
              <w:top w:val="nil"/>
              <w:left w:val="nil"/>
              <w:bottom w:val="single" w:color="000000" w:sz="4" w:space="0"/>
              <w:right w:val="single" w:color="000000" w:sz="4" w:space="0"/>
            </w:tcBorders>
            <w:shd w:val="clear" w:color="auto" w:fill="auto"/>
            <w:vAlign w:val="center"/>
          </w:tcPr>
          <w:p w14:paraId="7A606DC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 设计学</w:t>
            </w:r>
          </w:p>
        </w:tc>
        <w:tc>
          <w:tcPr>
            <w:tcW w:w="1418" w:type="dxa"/>
            <w:tcBorders>
              <w:top w:val="nil"/>
              <w:left w:val="nil"/>
              <w:bottom w:val="single" w:color="000000" w:sz="4" w:space="0"/>
              <w:right w:val="single" w:color="000000" w:sz="4" w:space="0"/>
            </w:tcBorders>
            <w:shd w:val="clear" w:color="auto" w:fill="auto"/>
            <w:noWrap/>
            <w:vAlign w:val="center"/>
          </w:tcPr>
          <w:p w14:paraId="58D98D49">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艺术学</w:t>
            </w:r>
          </w:p>
        </w:tc>
      </w:tr>
    </w:tbl>
    <w:p w14:paraId="51616702">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（3）硕士专业学位类别分布情况</w:t>
      </w:r>
    </w:p>
    <w:p w14:paraId="7585A6FD">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我校硕士专业学位类别分布情况如表1-3所示。</w:t>
      </w:r>
    </w:p>
    <w:p w14:paraId="03D0EAE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8"/>
          <w:szCs w:val="28"/>
          <w:shd w:val="clear" w:color="auto" w:fill="FFFFFF"/>
        </w:rPr>
      </w:pPr>
      <w:r>
        <w:rPr>
          <w:rFonts w:hint="default" w:ascii="Times New Roman" w:hAnsi="Times New Roman" w:eastAsia="方正仿宋_GBK" w:cs="Times New Roman"/>
          <w:sz w:val="28"/>
          <w:szCs w:val="28"/>
          <w:shd w:val="clear" w:color="auto" w:fill="FFFFFF"/>
        </w:rPr>
        <w:t>表1-3 2021年西南林业大学硕士专业学位类别分布情况表</w:t>
      </w:r>
    </w:p>
    <w:tbl>
      <w:tblPr>
        <w:tblStyle w:val="8"/>
        <w:tblW w:w="8429" w:type="dxa"/>
        <w:jc w:val="center"/>
        <w:tblLayout w:type="autofit"/>
        <w:tblCellMar>
          <w:top w:w="0" w:type="dxa"/>
          <w:left w:w="108" w:type="dxa"/>
          <w:bottom w:w="0" w:type="dxa"/>
          <w:right w:w="108" w:type="dxa"/>
        </w:tblCellMar>
      </w:tblPr>
      <w:tblGrid>
        <w:gridCol w:w="880"/>
        <w:gridCol w:w="1000"/>
        <w:gridCol w:w="2413"/>
        <w:gridCol w:w="1160"/>
        <w:gridCol w:w="2976"/>
      </w:tblGrid>
      <w:tr w14:paraId="5C004EEA">
        <w:tblPrEx>
          <w:tblCellMar>
            <w:top w:w="0" w:type="dxa"/>
            <w:left w:w="108" w:type="dxa"/>
            <w:bottom w:w="0" w:type="dxa"/>
            <w:right w:w="108" w:type="dxa"/>
          </w:tblCellMar>
        </w:tblPrEx>
        <w:trPr>
          <w:trHeight w:val="540" w:hRule="atLeast"/>
          <w:jc w:val="center"/>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168B884C">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序号</w:t>
            </w:r>
          </w:p>
        </w:tc>
        <w:tc>
          <w:tcPr>
            <w:tcW w:w="1000" w:type="dxa"/>
            <w:tcBorders>
              <w:top w:val="single" w:color="auto" w:sz="4" w:space="0"/>
              <w:left w:val="nil"/>
              <w:bottom w:val="single" w:color="auto" w:sz="4" w:space="0"/>
              <w:right w:val="single" w:color="auto" w:sz="4" w:space="0"/>
            </w:tcBorders>
            <w:shd w:val="clear" w:color="auto" w:fill="auto"/>
            <w:vAlign w:val="center"/>
          </w:tcPr>
          <w:p w14:paraId="5DDB8FBC">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专业学位代码</w:t>
            </w:r>
          </w:p>
        </w:tc>
        <w:tc>
          <w:tcPr>
            <w:tcW w:w="2413" w:type="dxa"/>
            <w:tcBorders>
              <w:top w:val="single" w:color="auto" w:sz="4" w:space="0"/>
              <w:left w:val="nil"/>
              <w:bottom w:val="single" w:color="auto" w:sz="4" w:space="0"/>
              <w:right w:val="single" w:color="auto" w:sz="4" w:space="0"/>
            </w:tcBorders>
            <w:shd w:val="clear" w:color="auto" w:fill="auto"/>
            <w:vAlign w:val="center"/>
          </w:tcPr>
          <w:p w14:paraId="7042664C">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专业学位类别名称</w:t>
            </w:r>
          </w:p>
        </w:tc>
        <w:tc>
          <w:tcPr>
            <w:tcW w:w="1160" w:type="dxa"/>
            <w:tcBorders>
              <w:top w:val="single" w:color="auto" w:sz="4" w:space="0"/>
              <w:left w:val="nil"/>
              <w:bottom w:val="single" w:color="auto" w:sz="4" w:space="0"/>
              <w:right w:val="single" w:color="auto" w:sz="4" w:space="0"/>
            </w:tcBorders>
            <w:shd w:val="clear" w:color="auto" w:fill="auto"/>
            <w:vAlign w:val="center"/>
          </w:tcPr>
          <w:p w14:paraId="5D40D823">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专业学位领域代码</w:t>
            </w:r>
          </w:p>
        </w:tc>
        <w:tc>
          <w:tcPr>
            <w:tcW w:w="2976" w:type="dxa"/>
            <w:tcBorders>
              <w:top w:val="single" w:color="auto" w:sz="4" w:space="0"/>
              <w:left w:val="nil"/>
              <w:bottom w:val="single" w:color="auto" w:sz="4" w:space="0"/>
              <w:right w:val="single" w:color="auto" w:sz="4" w:space="0"/>
            </w:tcBorders>
            <w:shd w:val="clear" w:color="auto" w:fill="auto"/>
            <w:vAlign w:val="center"/>
          </w:tcPr>
          <w:p w14:paraId="6427469A">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专业学位领域名称</w:t>
            </w:r>
          </w:p>
        </w:tc>
      </w:tr>
      <w:tr w14:paraId="5AB99D54">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49D4BE4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1 </w:t>
            </w:r>
          </w:p>
        </w:tc>
        <w:tc>
          <w:tcPr>
            <w:tcW w:w="1000" w:type="dxa"/>
            <w:tcBorders>
              <w:top w:val="nil"/>
              <w:left w:val="nil"/>
              <w:bottom w:val="single" w:color="auto" w:sz="4" w:space="0"/>
              <w:right w:val="single" w:color="auto" w:sz="4" w:space="0"/>
            </w:tcBorders>
            <w:shd w:val="clear" w:color="auto" w:fill="auto"/>
            <w:noWrap/>
            <w:vAlign w:val="center"/>
          </w:tcPr>
          <w:p w14:paraId="33601C9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0256 </w:t>
            </w:r>
          </w:p>
        </w:tc>
        <w:tc>
          <w:tcPr>
            <w:tcW w:w="2413" w:type="dxa"/>
            <w:tcBorders>
              <w:top w:val="nil"/>
              <w:left w:val="nil"/>
              <w:bottom w:val="single" w:color="auto" w:sz="4" w:space="0"/>
              <w:right w:val="single" w:color="auto" w:sz="4" w:space="0"/>
            </w:tcBorders>
            <w:shd w:val="clear" w:color="auto" w:fill="auto"/>
            <w:noWrap/>
            <w:vAlign w:val="center"/>
          </w:tcPr>
          <w:p w14:paraId="436B4C2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资产评估</w:t>
            </w:r>
          </w:p>
        </w:tc>
        <w:tc>
          <w:tcPr>
            <w:tcW w:w="1160" w:type="dxa"/>
            <w:tcBorders>
              <w:top w:val="nil"/>
              <w:left w:val="nil"/>
              <w:bottom w:val="single" w:color="auto" w:sz="4" w:space="0"/>
              <w:right w:val="single" w:color="auto" w:sz="4" w:space="0"/>
            </w:tcBorders>
            <w:shd w:val="clear" w:color="auto" w:fill="auto"/>
            <w:noWrap/>
            <w:vAlign w:val="center"/>
          </w:tcPr>
          <w:p w14:paraId="1285A4C7">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6833FF2F">
            <w:pPr>
              <w:snapToGrid w:val="0"/>
              <w:jc w:val="center"/>
              <w:rPr>
                <w:rFonts w:hint="default" w:ascii="Times New Roman" w:hAnsi="Times New Roman" w:eastAsia="方正仿宋_GBK" w:cs="Times New Roman"/>
                <w:color w:val="000000"/>
                <w:sz w:val="28"/>
                <w:szCs w:val="32"/>
              </w:rPr>
            </w:pPr>
          </w:p>
        </w:tc>
      </w:tr>
      <w:tr w14:paraId="0832A172">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4612DE21">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2 </w:t>
            </w:r>
          </w:p>
        </w:tc>
        <w:tc>
          <w:tcPr>
            <w:tcW w:w="1000" w:type="dxa"/>
            <w:tcBorders>
              <w:top w:val="nil"/>
              <w:left w:val="nil"/>
              <w:bottom w:val="single" w:color="auto" w:sz="4" w:space="0"/>
              <w:right w:val="single" w:color="auto" w:sz="4" w:space="0"/>
            </w:tcBorders>
            <w:shd w:val="clear" w:color="auto" w:fill="auto"/>
            <w:noWrap/>
            <w:vAlign w:val="center"/>
          </w:tcPr>
          <w:p w14:paraId="4FA6FA93">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0351</w:t>
            </w:r>
          </w:p>
        </w:tc>
        <w:tc>
          <w:tcPr>
            <w:tcW w:w="2413" w:type="dxa"/>
            <w:tcBorders>
              <w:top w:val="nil"/>
              <w:left w:val="nil"/>
              <w:bottom w:val="single" w:color="auto" w:sz="4" w:space="0"/>
              <w:right w:val="single" w:color="auto" w:sz="4" w:space="0"/>
            </w:tcBorders>
            <w:shd w:val="clear" w:color="auto" w:fill="auto"/>
            <w:noWrap/>
            <w:vAlign w:val="center"/>
          </w:tcPr>
          <w:p w14:paraId="71B58B97">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法律</w:t>
            </w:r>
          </w:p>
        </w:tc>
        <w:tc>
          <w:tcPr>
            <w:tcW w:w="1160" w:type="dxa"/>
            <w:tcBorders>
              <w:top w:val="nil"/>
              <w:left w:val="nil"/>
              <w:bottom w:val="single" w:color="auto" w:sz="4" w:space="0"/>
              <w:right w:val="single" w:color="auto" w:sz="4" w:space="0"/>
            </w:tcBorders>
            <w:shd w:val="clear" w:color="auto" w:fill="auto"/>
            <w:noWrap/>
            <w:vAlign w:val="center"/>
          </w:tcPr>
          <w:p w14:paraId="5603F55D">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2F35FD00">
            <w:pPr>
              <w:snapToGrid w:val="0"/>
              <w:jc w:val="center"/>
              <w:rPr>
                <w:rFonts w:hint="default" w:ascii="Times New Roman" w:hAnsi="Times New Roman" w:eastAsia="方正仿宋_GBK" w:cs="Times New Roman"/>
                <w:color w:val="000000"/>
                <w:sz w:val="28"/>
                <w:szCs w:val="32"/>
              </w:rPr>
            </w:pPr>
          </w:p>
        </w:tc>
      </w:tr>
      <w:tr w14:paraId="40DB79CA">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2190BC87">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3 </w:t>
            </w:r>
          </w:p>
        </w:tc>
        <w:tc>
          <w:tcPr>
            <w:tcW w:w="1000" w:type="dxa"/>
            <w:tcBorders>
              <w:top w:val="nil"/>
              <w:left w:val="nil"/>
              <w:bottom w:val="single" w:color="auto" w:sz="4" w:space="0"/>
              <w:right w:val="single" w:color="auto" w:sz="4" w:space="0"/>
            </w:tcBorders>
            <w:shd w:val="clear" w:color="auto" w:fill="auto"/>
            <w:noWrap/>
            <w:vAlign w:val="center"/>
          </w:tcPr>
          <w:p w14:paraId="318A0F96">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0453</w:t>
            </w:r>
          </w:p>
        </w:tc>
        <w:tc>
          <w:tcPr>
            <w:tcW w:w="2413" w:type="dxa"/>
            <w:tcBorders>
              <w:top w:val="nil"/>
              <w:left w:val="nil"/>
              <w:bottom w:val="single" w:color="auto" w:sz="4" w:space="0"/>
              <w:right w:val="single" w:color="auto" w:sz="4" w:space="0"/>
            </w:tcBorders>
            <w:shd w:val="clear" w:color="auto" w:fill="auto"/>
            <w:noWrap/>
            <w:vAlign w:val="center"/>
          </w:tcPr>
          <w:p w14:paraId="33899C33">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汉语国际教育</w:t>
            </w:r>
          </w:p>
        </w:tc>
        <w:tc>
          <w:tcPr>
            <w:tcW w:w="1160" w:type="dxa"/>
            <w:tcBorders>
              <w:top w:val="nil"/>
              <w:left w:val="nil"/>
              <w:bottom w:val="single" w:color="auto" w:sz="4" w:space="0"/>
              <w:right w:val="single" w:color="auto" w:sz="4" w:space="0"/>
            </w:tcBorders>
            <w:shd w:val="clear" w:color="auto" w:fill="auto"/>
            <w:noWrap/>
            <w:vAlign w:val="center"/>
          </w:tcPr>
          <w:p w14:paraId="03CD489E">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5254362C">
            <w:pPr>
              <w:snapToGrid w:val="0"/>
              <w:jc w:val="center"/>
              <w:rPr>
                <w:rFonts w:hint="default" w:ascii="Times New Roman" w:hAnsi="Times New Roman" w:eastAsia="方正仿宋_GBK" w:cs="Times New Roman"/>
                <w:color w:val="000000"/>
                <w:sz w:val="28"/>
                <w:szCs w:val="32"/>
              </w:rPr>
            </w:pPr>
          </w:p>
        </w:tc>
      </w:tr>
      <w:tr w14:paraId="105D52E9">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73BAD159">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4 </w:t>
            </w:r>
          </w:p>
        </w:tc>
        <w:tc>
          <w:tcPr>
            <w:tcW w:w="1000" w:type="dxa"/>
            <w:tcBorders>
              <w:top w:val="nil"/>
              <w:left w:val="nil"/>
              <w:bottom w:val="single" w:color="auto" w:sz="4" w:space="0"/>
              <w:right w:val="single" w:color="auto" w:sz="4" w:space="0"/>
            </w:tcBorders>
            <w:shd w:val="clear" w:color="auto" w:fill="auto"/>
            <w:noWrap/>
            <w:vAlign w:val="center"/>
          </w:tcPr>
          <w:p w14:paraId="5A2A418F">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0551</w:t>
            </w:r>
          </w:p>
        </w:tc>
        <w:tc>
          <w:tcPr>
            <w:tcW w:w="2413" w:type="dxa"/>
            <w:tcBorders>
              <w:top w:val="nil"/>
              <w:left w:val="nil"/>
              <w:bottom w:val="single" w:color="auto" w:sz="4" w:space="0"/>
              <w:right w:val="single" w:color="auto" w:sz="4" w:space="0"/>
            </w:tcBorders>
            <w:shd w:val="clear" w:color="auto" w:fill="auto"/>
            <w:noWrap/>
            <w:vAlign w:val="center"/>
          </w:tcPr>
          <w:p w14:paraId="02455A8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翻译</w:t>
            </w:r>
          </w:p>
        </w:tc>
        <w:tc>
          <w:tcPr>
            <w:tcW w:w="1160" w:type="dxa"/>
            <w:tcBorders>
              <w:top w:val="nil"/>
              <w:left w:val="nil"/>
              <w:bottom w:val="single" w:color="auto" w:sz="4" w:space="0"/>
              <w:right w:val="single" w:color="auto" w:sz="4" w:space="0"/>
            </w:tcBorders>
            <w:shd w:val="clear" w:color="auto" w:fill="auto"/>
            <w:noWrap/>
            <w:vAlign w:val="center"/>
          </w:tcPr>
          <w:p w14:paraId="103C8931">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6540F818">
            <w:pPr>
              <w:snapToGrid w:val="0"/>
              <w:jc w:val="center"/>
              <w:rPr>
                <w:rFonts w:hint="default" w:ascii="Times New Roman" w:hAnsi="Times New Roman" w:eastAsia="方正仿宋_GBK" w:cs="Times New Roman"/>
                <w:color w:val="000000"/>
                <w:sz w:val="28"/>
                <w:szCs w:val="32"/>
              </w:rPr>
            </w:pPr>
          </w:p>
        </w:tc>
      </w:tr>
      <w:tr w14:paraId="2D080D34">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72EE6C18">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5 </w:t>
            </w:r>
          </w:p>
        </w:tc>
        <w:tc>
          <w:tcPr>
            <w:tcW w:w="1000" w:type="dxa"/>
            <w:tcBorders>
              <w:top w:val="nil"/>
              <w:left w:val="nil"/>
              <w:bottom w:val="single" w:color="auto" w:sz="4" w:space="0"/>
              <w:right w:val="single" w:color="auto" w:sz="4" w:space="0"/>
            </w:tcBorders>
            <w:shd w:val="clear" w:color="auto" w:fill="auto"/>
            <w:noWrap/>
            <w:vAlign w:val="center"/>
          </w:tcPr>
          <w:p w14:paraId="0E258AC3">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0855</w:t>
            </w:r>
          </w:p>
        </w:tc>
        <w:tc>
          <w:tcPr>
            <w:tcW w:w="2413" w:type="dxa"/>
            <w:tcBorders>
              <w:top w:val="nil"/>
              <w:left w:val="nil"/>
              <w:bottom w:val="single" w:color="auto" w:sz="4" w:space="0"/>
              <w:right w:val="single" w:color="auto" w:sz="4" w:space="0"/>
            </w:tcBorders>
            <w:shd w:val="clear" w:color="auto" w:fill="auto"/>
            <w:noWrap/>
            <w:vAlign w:val="center"/>
          </w:tcPr>
          <w:p w14:paraId="676684E5">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机械</w:t>
            </w:r>
          </w:p>
        </w:tc>
        <w:tc>
          <w:tcPr>
            <w:tcW w:w="1160" w:type="dxa"/>
            <w:tcBorders>
              <w:top w:val="nil"/>
              <w:left w:val="nil"/>
              <w:bottom w:val="single" w:color="auto" w:sz="4" w:space="0"/>
              <w:right w:val="single" w:color="auto" w:sz="4" w:space="0"/>
            </w:tcBorders>
            <w:shd w:val="clear" w:color="auto" w:fill="auto"/>
            <w:noWrap/>
            <w:vAlign w:val="center"/>
          </w:tcPr>
          <w:p w14:paraId="747E6888">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3E1C93BE">
            <w:pPr>
              <w:snapToGrid w:val="0"/>
              <w:jc w:val="center"/>
              <w:rPr>
                <w:rFonts w:hint="default" w:ascii="Times New Roman" w:hAnsi="Times New Roman" w:eastAsia="方正仿宋_GBK" w:cs="Times New Roman"/>
                <w:color w:val="000000"/>
                <w:sz w:val="28"/>
                <w:szCs w:val="32"/>
              </w:rPr>
            </w:pPr>
          </w:p>
        </w:tc>
      </w:tr>
      <w:tr w14:paraId="05CEDB05">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2C9379AF">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6 </w:t>
            </w:r>
          </w:p>
        </w:tc>
        <w:tc>
          <w:tcPr>
            <w:tcW w:w="1000" w:type="dxa"/>
            <w:tcBorders>
              <w:top w:val="nil"/>
              <w:left w:val="nil"/>
              <w:bottom w:val="single" w:color="auto" w:sz="4" w:space="0"/>
              <w:right w:val="single" w:color="auto" w:sz="4" w:space="0"/>
            </w:tcBorders>
            <w:shd w:val="clear" w:color="auto" w:fill="auto"/>
            <w:noWrap/>
            <w:vAlign w:val="center"/>
          </w:tcPr>
          <w:p w14:paraId="7F128E55">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0856</w:t>
            </w:r>
          </w:p>
        </w:tc>
        <w:tc>
          <w:tcPr>
            <w:tcW w:w="2413" w:type="dxa"/>
            <w:tcBorders>
              <w:top w:val="nil"/>
              <w:left w:val="nil"/>
              <w:bottom w:val="single" w:color="auto" w:sz="4" w:space="0"/>
              <w:right w:val="single" w:color="auto" w:sz="4" w:space="0"/>
            </w:tcBorders>
            <w:shd w:val="clear" w:color="auto" w:fill="auto"/>
            <w:noWrap/>
            <w:vAlign w:val="center"/>
          </w:tcPr>
          <w:p w14:paraId="0402A286">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材料与化工</w:t>
            </w:r>
          </w:p>
        </w:tc>
        <w:tc>
          <w:tcPr>
            <w:tcW w:w="1160" w:type="dxa"/>
            <w:tcBorders>
              <w:top w:val="nil"/>
              <w:left w:val="nil"/>
              <w:bottom w:val="single" w:color="auto" w:sz="4" w:space="0"/>
              <w:right w:val="single" w:color="auto" w:sz="4" w:space="0"/>
            </w:tcBorders>
            <w:shd w:val="clear" w:color="auto" w:fill="auto"/>
            <w:noWrap/>
            <w:vAlign w:val="center"/>
          </w:tcPr>
          <w:p w14:paraId="54883B2C">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47ABEF05">
            <w:pPr>
              <w:snapToGrid w:val="0"/>
              <w:jc w:val="center"/>
              <w:rPr>
                <w:rFonts w:hint="default" w:ascii="Times New Roman" w:hAnsi="Times New Roman" w:eastAsia="方正仿宋_GBK" w:cs="Times New Roman"/>
                <w:color w:val="000000"/>
                <w:sz w:val="28"/>
                <w:szCs w:val="32"/>
              </w:rPr>
            </w:pPr>
          </w:p>
        </w:tc>
      </w:tr>
      <w:tr w14:paraId="1F79B618">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1C24A06B">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7 </w:t>
            </w:r>
          </w:p>
        </w:tc>
        <w:tc>
          <w:tcPr>
            <w:tcW w:w="1000" w:type="dxa"/>
            <w:tcBorders>
              <w:top w:val="nil"/>
              <w:left w:val="nil"/>
              <w:bottom w:val="single" w:color="auto" w:sz="4" w:space="0"/>
              <w:right w:val="single" w:color="auto" w:sz="4" w:space="0"/>
            </w:tcBorders>
            <w:shd w:val="clear" w:color="auto" w:fill="auto"/>
            <w:noWrap/>
            <w:vAlign w:val="center"/>
          </w:tcPr>
          <w:p w14:paraId="2EFB97B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0857</w:t>
            </w:r>
          </w:p>
        </w:tc>
        <w:tc>
          <w:tcPr>
            <w:tcW w:w="2413" w:type="dxa"/>
            <w:tcBorders>
              <w:top w:val="nil"/>
              <w:left w:val="nil"/>
              <w:bottom w:val="single" w:color="auto" w:sz="4" w:space="0"/>
              <w:right w:val="single" w:color="auto" w:sz="4" w:space="0"/>
            </w:tcBorders>
            <w:shd w:val="clear" w:color="auto" w:fill="auto"/>
            <w:noWrap/>
            <w:vAlign w:val="center"/>
          </w:tcPr>
          <w:p w14:paraId="06A00A0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资源与环境</w:t>
            </w:r>
          </w:p>
        </w:tc>
        <w:tc>
          <w:tcPr>
            <w:tcW w:w="1160" w:type="dxa"/>
            <w:tcBorders>
              <w:top w:val="nil"/>
              <w:left w:val="nil"/>
              <w:bottom w:val="single" w:color="auto" w:sz="4" w:space="0"/>
              <w:right w:val="single" w:color="auto" w:sz="4" w:space="0"/>
            </w:tcBorders>
            <w:shd w:val="clear" w:color="auto" w:fill="auto"/>
            <w:noWrap/>
            <w:vAlign w:val="center"/>
          </w:tcPr>
          <w:p w14:paraId="7EC31AD0">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0FA8C777">
            <w:pPr>
              <w:snapToGrid w:val="0"/>
              <w:jc w:val="center"/>
              <w:rPr>
                <w:rFonts w:hint="default" w:ascii="Times New Roman" w:hAnsi="Times New Roman" w:eastAsia="方正仿宋_GBK" w:cs="Times New Roman"/>
                <w:color w:val="000000"/>
                <w:sz w:val="28"/>
                <w:szCs w:val="32"/>
              </w:rPr>
            </w:pPr>
          </w:p>
        </w:tc>
      </w:tr>
      <w:tr w14:paraId="3A7FF494">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4233E76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8 </w:t>
            </w:r>
          </w:p>
        </w:tc>
        <w:tc>
          <w:tcPr>
            <w:tcW w:w="1000" w:type="dxa"/>
            <w:tcBorders>
              <w:top w:val="nil"/>
              <w:left w:val="nil"/>
              <w:bottom w:val="single" w:color="auto" w:sz="4" w:space="0"/>
              <w:right w:val="single" w:color="auto" w:sz="4" w:space="0"/>
            </w:tcBorders>
            <w:shd w:val="clear" w:color="auto" w:fill="auto"/>
            <w:noWrap/>
            <w:vAlign w:val="center"/>
          </w:tcPr>
          <w:p w14:paraId="180BB1AB">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0859</w:t>
            </w:r>
          </w:p>
        </w:tc>
        <w:tc>
          <w:tcPr>
            <w:tcW w:w="2413" w:type="dxa"/>
            <w:tcBorders>
              <w:top w:val="nil"/>
              <w:left w:val="nil"/>
              <w:bottom w:val="single" w:color="auto" w:sz="4" w:space="0"/>
              <w:right w:val="single" w:color="auto" w:sz="4" w:space="0"/>
            </w:tcBorders>
            <w:shd w:val="clear" w:color="auto" w:fill="auto"/>
            <w:noWrap/>
            <w:vAlign w:val="center"/>
          </w:tcPr>
          <w:p w14:paraId="368EC36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土木水利</w:t>
            </w:r>
          </w:p>
        </w:tc>
        <w:tc>
          <w:tcPr>
            <w:tcW w:w="1160" w:type="dxa"/>
            <w:tcBorders>
              <w:top w:val="nil"/>
              <w:left w:val="nil"/>
              <w:bottom w:val="single" w:color="auto" w:sz="4" w:space="0"/>
              <w:right w:val="single" w:color="auto" w:sz="4" w:space="0"/>
            </w:tcBorders>
            <w:shd w:val="clear" w:color="auto" w:fill="auto"/>
            <w:noWrap/>
            <w:vAlign w:val="center"/>
          </w:tcPr>
          <w:p w14:paraId="19A0B3AE">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1FCF66E1">
            <w:pPr>
              <w:snapToGrid w:val="0"/>
              <w:jc w:val="center"/>
              <w:rPr>
                <w:rFonts w:hint="default" w:ascii="Times New Roman" w:hAnsi="Times New Roman" w:eastAsia="方正仿宋_GBK" w:cs="Times New Roman"/>
                <w:color w:val="000000"/>
                <w:sz w:val="28"/>
                <w:szCs w:val="32"/>
              </w:rPr>
            </w:pPr>
          </w:p>
        </w:tc>
      </w:tr>
      <w:tr w14:paraId="59B8B7E7">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5EBF0C33">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9 </w:t>
            </w:r>
          </w:p>
        </w:tc>
        <w:tc>
          <w:tcPr>
            <w:tcW w:w="1000" w:type="dxa"/>
            <w:tcBorders>
              <w:top w:val="nil"/>
              <w:left w:val="nil"/>
              <w:bottom w:val="single" w:color="auto" w:sz="4" w:space="0"/>
              <w:right w:val="single" w:color="auto" w:sz="4" w:space="0"/>
            </w:tcBorders>
            <w:shd w:val="clear" w:color="auto" w:fill="auto"/>
            <w:noWrap/>
            <w:vAlign w:val="center"/>
          </w:tcPr>
          <w:p w14:paraId="52BBDBA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0861</w:t>
            </w:r>
          </w:p>
        </w:tc>
        <w:tc>
          <w:tcPr>
            <w:tcW w:w="2413" w:type="dxa"/>
            <w:tcBorders>
              <w:top w:val="nil"/>
              <w:left w:val="nil"/>
              <w:bottom w:val="single" w:color="auto" w:sz="4" w:space="0"/>
              <w:right w:val="single" w:color="auto" w:sz="4" w:space="0"/>
            </w:tcBorders>
            <w:shd w:val="clear" w:color="auto" w:fill="auto"/>
            <w:noWrap/>
            <w:vAlign w:val="center"/>
          </w:tcPr>
          <w:p w14:paraId="2C40ECB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交通运输</w:t>
            </w:r>
          </w:p>
        </w:tc>
        <w:tc>
          <w:tcPr>
            <w:tcW w:w="1160" w:type="dxa"/>
            <w:tcBorders>
              <w:top w:val="nil"/>
              <w:left w:val="nil"/>
              <w:bottom w:val="single" w:color="auto" w:sz="4" w:space="0"/>
              <w:right w:val="single" w:color="auto" w:sz="4" w:space="0"/>
            </w:tcBorders>
            <w:shd w:val="clear" w:color="auto" w:fill="auto"/>
            <w:noWrap/>
            <w:vAlign w:val="center"/>
          </w:tcPr>
          <w:p w14:paraId="4137AE79">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02522559">
            <w:pPr>
              <w:snapToGrid w:val="0"/>
              <w:jc w:val="center"/>
              <w:rPr>
                <w:rFonts w:hint="default" w:ascii="Times New Roman" w:hAnsi="Times New Roman" w:eastAsia="方正仿宋_GBK" w:cs="Times New Roman"/>
                <w:color w:val="000000"/>
                <w:sz w:val="28"/>
                <w:szCs w:val="32"/>
              </w:rPr>
            </w:pPr>
          </w:p>
        </w:tc>
      </w:tr>
      <w:tr w14:paraId="07278FDD">
        <w:tblPrEx>
          <w:tblCellMar>
            <w:top w:w="0" w:type="dxa"/>
            <w:left w:w="108" w:type="dxa"/>
            <w:bottom w:w="0" w:type="dxa"/>
            <w:right w:w="108" w:type="dxa"/>
          </w:tblCellMar>
        </w:tblPrEx>
        <w:trPr>
          <w:trHeight w:val="348" w:hRule="atLeast"/>
          <w:jc w:val="center"/>
        </w:trPr>
        <w:tc>
          <w:tcPr>
            <w:tcW w:w="880" w:type="dxa"/>
            <w:vMerge w:val="restart"/>
            <w:tcBorders>
              <w:top w:val="nil"/>
              <w:left w:val="single" w:color="auto" w:sz="4" w:space="0"/>
              <w:bottom w:val="single" w:color="auto" w:sz="4" w:space="0"/>
              <w:right w:val="single" w:color="auto" w:sz="4" w:space="0"/>
            </w:tcBorders>
            <w:shd w:val="clear" w:color="auto" w:fill="auto"/>
            <w:noWrap/>
            <w:vAlign w:val="center"/>
          </w:tcPr>
          <w:p w14:paraId="336254E2">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10</w:t>
            </w:r>
          </w:p>
        </w:tc>
        <w:tc>
          <w:tcPr>
            <w:tcW w:w="1000" w:type="dxa"/>
            <w:vMerge w:val="restart"/>
            <w:tcBorders>
              <w:top w:val="nil"/>
              <w:left w:val="single" w:color="auto" w:sz="4" w:space="0"/>
              <w:bottom w:val="single" w:color="auto" w:sz="4" w:space="0"/>
              <w:right w:val="single" w:color="auto" w:sz="4" w:space="0"/>
            </w:tcBorders>
            <w:shd w:val="clear" w:color="auto" w:fill="auto"/>
            <w:noWrap/>
            <w:vAlign w:val="center"/>
          </w:tcPr>
          <w:p w14:paraId="2DF8EB5B">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0951</w:t>
            </w:r>
          </w:p>
        </w:tc>
        <w:tc>
          <w:tcPr>
            <w:tcW w:w="2413" w:type="dxa"/>
            <w:vMerge w:val="restart"/>
            <w:tcBorders>
              <w:top w:val="nil"/>
              <w:left w:val="single" w:color="auto" w:sz="4" w:space="0"/>
              <w:bottom w:val="single" w:color="auto" w:sz="4" w:space="0"/>
              <w:right w:val="single" w:color="auto" w:sz="4" w:space="0"/>
            </w:tcBorders>
            <w:shd w:val="clear" w:color="auto" w:fill="auto"/>
            <w:noWrap/>
            <w:vAlign w:val="center"/>
          </w:tcPr>
          <w:p w14:paraId="22D69D9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农业</w:t>
            </w:r>
          </w:p>
        </w:tc>
        <w:tc>
          <w:tcPr>
            <w:tcW w:w="1160" w:type="dxa"/>
            <w:tcBorders>
              <w:top w:val="nil"/>
              <w:left w:val="nil"/>
              <w:bottom w:val="single" w:color="auto" w:sz="4" w:space="0"/>
              <w:right w:val="single" w:color="auto" w:sz="4" w:space="0"/>
            </w:tcBorders>
            <w:shd w:val="clear" w:color="auto" w:fill="auto"/>
            <w:noWrap/>
            <w:vAlign w:val="center"/>
          </w:tcPr>
          <w:p w14:paraId="2ACBE46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095131 </w:t>
            </w:r>
          </w:p>
        </w:tc>
        <w:tc>
          <w:tcPr>
            <w:tcW w:w="2976" w:type="dxa"/>
            <w:tcBorders>
              <w:top w:val="nil"/>
              <w:left w:val="nil"/>
              <w:bottom w:val="single" w:color="auto" w:sz="4" w:space="0"/>
              <w:right w:val="single" w:color="auto" w:sz="4" w:space="0"/>
            </w:tcBorders>
            <w:shd w:val="clear" w:color="auto" w:fill="auto"/>
            <w:noWrap/>
            <w:vAlign w:val="center"/>
          </w:tcPr>
          <w:p w14:paraId="222CB03B">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农艺与种业</w:t>
            </w:r>
          </w:p>
        </w:tc>
      </w:tr>
      <w:tr w14:paraId="310F2311">
        <w:tblPrEx>
          <w:tblCellMar>
            <w:top w:w="0" w:type="dxa"/>
            <w:left w:w="108" w:type="dxa"/>
            <w:bottom w:w="0" w:type="dxa"/>
            <w:right w:w="108" w:type="dxa"/>
          </w:tblCellMar>
        </w:tblPrEx>
        <w:trPr>
          <w:trHeight w:val="348" w:hRule="atLeast"/>
          <w:jc w:val="center"/>
        </w:trPr>
        <w:tc>
          <w:tcPr>
            <w:tcW w:w="880" w:type="dxa"/>
            <w:vMerge w:val="continue"/>
            <w:tcBorders>
              <w:top w:val="nil"/>
              <w:left w:val="single" w:color="auto" w:sz="4" w:space="0"/>
              <w:bottom w:val="single" w:color="auto" w:sz="4" w:space="0"/>
              <w:right w:val="single" w:color="auto" w:sz="4" w:space="0"/>
            </w:tcBorders>
            <w:vAlign w:val="center"/>
          </w:tcPr>
          <w:p w14:paraId="0012F7F1">
            <w:pPr>
              <w:snapToGrid w:val="0"/>
              <w:jc w:val="center"/>
              <w:rPr>
                <w:rFonts w:hint="default" w:ascii="Times New Roman" w:hAnsi="Times New Roman" w:eastAsia="方正仿宋_GBK" w:cs="Times New Roman"/>
                <w:color w:val="000000"/>
                <w:sz w:val="28"/>
                <w:szCs w:val="32"/>
              </w:rPr>
            </w:pPr>
          </w:p>
        </w:tc>
        <w:tc>
          <w:tcPr>
            <w:tcW w:w="1000" w:type="dxa"/>
            <w:vMerge w:val="continue"/>
            <w:tcBorders>
              <w:top w:val="nil"/>
              <w:left w:val="single" w:color="auto" w:sz="4" w:space="0"/>
              <w:bottom w:val="single" w:color="auto" w:sz="4" w:space="0"/>
              <w:right w:val="single" w:color="auto" w:sz="4" w:space="0"/>
            </w:tcBorders>
            <w:vAlign w:val="center"/>
          </w:tcPr>
          <w:p w14:paraId="617951F2">
            <w:pPr>
              <w:snapToGrid w:val="0"/>
              <w:jc w:val="center"/>
              <w:rPr>
                <w:rFonts w:hint="default" w:ascii="Times New Roman" w:hAnsi="Times New Roman" w:eastAsia="方正仿宋_GBK" w:cs="Times New Roman"/>
                <w:color w:val="000000"/>
                <w:sz w:val="28"/>
                <w:szCs w:val="32"/>
              </w:rPr>
            </w:pPr>
          </w:p>
        </w:tc>
        <w:tc>
          <w:tcPr>
            <w:tcW w:w="2413" w:type="dxa"/>
            <w:vMerge w:val="continue"/>
            <w:tcBorders>
              <w:top w:val="nil"/>
              <w:left w:val="single" w:color="auto" w:sz="4" w:space="0"/>
              <w:bottom w:val="single" w:color="auto" w:sz="4" w:space="0"/>
              <w:right w:val="single" w:color="auto" w:sz="4" w:space="0"/>
            </w:tcBorders>
            <w:vAlign w:val="center"/>
          </w:tcPr>
          <w:p w14:paraId="41A7407B">
            <w:pPr>
              <w:snapToGrid w:val="0"/>
              <w:jc w:val="center"/>
              <w:rPr>
                <w:rFonts w:hint="default" w:ascii="Times New Roman" w:hAnsi="Times New Roman" w:eastAsia="方正仿宋_GBK" w:cs="Times New Roman"/>
                <w:color w:val="000000"/>
                <w:sz w:val="28"/>
                <w:szCs w:val="32"/>
              </w:rPr>
            </w:pPr>
          </w:p>
        </w:tc>
        <w:tc>
          <w:tcPr>
            <w:tcW w:w="1160" w:type="dxa"/>
            <w:tcBorders>
              <w:top w:val="nil"/>
              <w:left w:val="nil"/>
              <w:bottom w:val="single" w:color="auto" w:sz="4" w:space="0"/>
              <w:right w:val="single" w:color="auto" w:sz="4" w:space="0"/>
            </w:tcBorders>
            <w:shd w:val="clear" w:color="auto" w:fill="auto"/>
            <w:noWrap/>
            <w:vAlign w:val="center"/>
          </w:tcPr>
          <w:p w14:paraId="7BE7D52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095132 </w:t>
            </w:r>
          </w:p>
        </w:tc>
        <w:tc>
          <w:tcPr>
            <w:tcW w:w="2976" w:type="dxa"/>
            <w:tcBorders>
              <w:top w:val="nil"/>
              <w:left w:val="nil"/>
              <w:bottom w:val="single" w:color="auto" w:sz="4" w:space="0"/>
              <w:right w:val="single" w:color="auto" w:sz="4" w:space="0"/>
            </w:tcBorders>
            <w:shd w:val="clear" w:color="auto" w:fill="auto"/>
            <w:noWrap/>
            <w:vAlign w:val="center"/>
          </w:tcPr>
          <w:p w14:paraId="4D8F9C7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资源利用与植物保护</w:t>
            </w:r>
          </w:p>
        </w:tc>
      </w:tr>
      <w:tr w14:paraId="0C3FF326">
        <w:tblPrEx>
          <w:tblCellMar>
            <w:top w:w="0" w:type="dxa"/>
            <w:left w:w="108" w:type="dxa"/>
            <w:bottom w:w="0" w:type="dxa"/>
            <w:right w:w="108" w:type="dxa"/>
          </w:tblCellMar>
        </w:tblPrEx>
        <w:trPr>
          <w:trHeight w:val="348" w:hRule="atLeast"/>
          <w:jc w:val="center"/>
        </w:trPr>
        <w:tc>
          <w:tcPr>
            <w:tcW w:w="880" w:type="dxa"/>
            <w:vMerge w:val="continue"/>
            <w:tcBorders>
              <w:top w:val="nil"/>
              <w:left w:val="single" w:color="auto" w:sz="4" w:space="0"/>
              <w:bottom w:val="single" w:color="auto" w:sz="4" w:space="0"/>
              <w:right w:val="single" w:color="auto" w:sz="4" w:space="0"/>
            </w:tcBorders>
            <w:vAlign w:val="center"/>
          </w:tcPr>
          <w:p w14:paraId="11EA2B33">
            <w:pPr>
              <w:snapToGrid w:val="0"/>
              <w:jc w:val="center"/>
              <w:rPr>
                <w:rFonts w:hint="default" w:ascii="Times New Roman" w:hAnsi="Times New Roman" w:eastAsia="方正仿宋_GBK" w:cs="Times New Roman"/>
                <w:color w:val="000000"/>
                <w:sz w:val="28"/>
                <w:szCs w:val="32"/>
              </w:rPr>
            </w:pPr>
          </w:p>
        </w:tc>
        <w:tc>
          <w:tcPr>
            <w:tcW w:w="1000" w:type="dxa"/>
            <w:vMerge w:val="continue"/>
            <w:tcBorders>
              <w:top w:val="nil"/>
              <w:left w:val="single" w:color="auto" w:sz="4" w:space="0"/>
              <w:bottom w:val="single" w:color="auto" w:sz="4" w:space="0"/>
              <w:right w:val="single" w:color="auto" w:sz="4" w:space="0"/>
            </w:tcBorders>
            <w:vAlign w:val="center"/>
          </w:tcPr>
          <w:p w14:paraId="0567C2ED">
            <w:pPr>
              <w:snapToGrid w:val="0"/>
              <w:jc w:val="center"/>
              <w:rPr>
                <w:rFonts w:hint="default" w:ascii="Times New Roman" w:hAnsi="Times New Roman" w:eastAsia="方正仿宋_GBK" w:cs="Times New Roman"/>
                <w:color w:val="000000"/>
                <w:sz w:val="28"/>
                <w:szCs w:val="32"/>
              </w:rPr>
            </w:pPr>
          </w:p>
        </w:tc>
        <w:tc>
          <w:tcPr>
            <w:tcW w:w="2413" w:type="dxa"/>
            <w:vMerge w:val="continue"/>
            <w:tcBorders>
              <w:top w:val="nil"/>
              <w:left w:val="single" w:color="auto" w:sz="4" w:space="0"/>
              <w:bottom w:val="single" w:color="auto" w:sz="4" w:space="0"/>
              <w:right w:val="single" w:color="auto" w:sz="4" w:space="0"/>
            </w:tcBorders>
            <w:vAlign w:val="center"/>
          </w:tcPr>
          <w:p w14:paraId="73F4BF36">
            <w:pPr>
              <w:snapToGrid w:val="0"/>
              <w:jc w:val="center"/>
              <w:rPr>
                <w:rFonts w:hint="default" w:ascii="Times New Roman" w:hAnsi="Times New Roman" w:eastAsia="方正仿宋_GBK" w:cs="Times New Roman"/>
                <w:color w:val="000000"/>
                <w:sz w:val="28"/>
                <w:szCs w:val="32"/>
              </w:rPr>
            </w:pPr>
          </w:p>
        </w:tc>
        <w:tc>
          <w:tcPr>
            <w:tcW w:w="1160" w:type="dxa"/>
            <w:tcBorders>
              <w:top w:val="nil"/>
              <w:left w:val="nil"/>
              <w:bottom w:val="single" w:color="auto" w:sz="4" w:space="0"/>
              <w:right w:val="single" w:color="auto" w:sz="4" w:space="0"/>
            </w:tcBorders>
            <w:shd w:val="clear" w:color="auto" w:fill="auto"/>
            <w:noWrap/>
            <w:vAlign w:val="center"/>
          </w:tcPr>
          <w:p w14:paraId="792CC4E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095135 </w:t>
            </w:r>
          </w:p>
        </w:tc>
        <w:tc>
          <w:tcPr>
            <w:tcW w:w="2976" w:type="dxa"/>
            <w:tcBorders>
              <w:top w:val="nil"/>
              <w:left w:val="nil"/>
              <w:bottom w:val="single" w:color="auto" w:sz="4" w:space="0"/>
              <w:right w:val="single" w:color="auto" w:sz="4" w:space="0"/>
            </w:tcBorders>
            <w:shd w:val="clear" w:color="auto" w:fill="auto"/>
            <w:noWrap/>
            <w:vAlign w:val="center"/>
          </w:tcPr>
          <w:p w14:paraId="510A06E2">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食品加工与安全</w:t>
            </w:r>
          </w:p>
        </w:tc>
      </w:tr>
      <w:tr w14:paraId="4A1D4D9D">
        <w:tblPrEx>
          <w:tblCellMar>
            <w:top w:w="0" w:type="dxa"/>
            <w:left w:w="108" w:type="dxa"/>
            <w:bottom w:w="0" w:type="dxa"/>
            <w:right w:w="108" w:type="dxa"/>
          </w:tblCellMar>
        </w:tblPrEx>
        <w:trPr>
          <w:trHeight w:val="348" w:hRule="atLeast"/>
          <w:jc w:val="center"/>
        </w:trPr>
        <w:tc>
          <w:tcPr>
            <w:tcW w:w="880" w:type="dxa"/>
            <w:vMerge w:val="continue"/>
            <w:tcBorders>
              <w:top w:val="nil"/>
              <w:left w:val="single" w:color="auto" w:sz="4" w:space="0"/>
              <w:bottom w:val="single" w:color="auto" w:sz="4" w:space="0"/>
              <w:right w:val="single" w:color="auto" w:sz="4" w:space="0"/>
            </w:tcBorders>
            <w:vAlign w:val="center"/>
          </w:tcPr>
          <w:p w14:paraId="08E4F9FD">
            <w:pPr>
              <w:snapToGrid w:val="0"/>
              <w:jc w:val="center"/>
              <w:rPr>
                <w:rFonts w:hint="default" w:ascii="Times New Roman" w:hAnsi="Times New Roman" w:eastAsia="方正仿宋_GBK" w:cs="Times New Roman"/>
                <w:color w:val="000000"/>
                <w:sz w:val="28"/>
                <w:szCs w:val="32"/>
              </w:rPr>
            </w:pPr>
          </w:p>
        </w:tc>
        <w:tc>
          <w:tcPr>
            <w:tcW w:w="1000" w:type="dxa"/>
            <w:vMerge w:val="continue"/>
            <w:tcBorders>
              <w:top w:val="nil"/>
              <w:left w:val="single" w:color="auto" w:sz="4" w:space="0"/>
              <w:bottom w:val="single" w:color="auto" w:sz="4" w:space="0"/>
              <w:right w:val="single" w:color="auto" w:sz="4" w:space="0"/>
            </w:tcBorders>
            <w:vAlign w:val="center"/>
          </w:tcPr>
          <w:p w14:paraId="46AF5A6E">
            <w:pPr>
              <w:snapToGrid w:val="0"/>
              <w:jc w:val="center"/>
              <w:rPr>
                <w:rFonts w:hint="default" w:ascii="Times New Roman" w:hAnsi="Times New Roman" w:eastAsia="方正仿宋_GBK" w:cs="Times New Roman"/>
                <w:color w:val="000000"/>
                <w:sz w:val="28"/>
                <w:szCs w:val="32"/>
              </w:rPr>
            </w:pPr>
          </w:p>
        </w:tc>
        <w:tc>
          <w:tcPr>
            <w:tcW w:w="2413" w:type="dxa"/>
            <w:vMerge w:val="continue"/>
            <w:tcBorders>
              <w:top w:val="nil"/>
              <w:left w:val="single" w:color="auto" w:sz="4" w:space="0"/>
              <w:bottom w:val="single" w:color="auto" w:sz="4" w:space="0"/>
              <w:right w:val="single" w:color="auto" w:sz="4" w:space="0"/>
            </w:tcBorders>
            <w:vAlign w:val="center"/>
          </w:tcPr>
          <w:p w14:paraId="0EF1D258">
            <w:pPr>
              <w:snapToGrid w:val="0"/>
              <w:jc w:val="center"/>
              <w:rPr>
                <w:rFonts w:hint="default" w:ascii="Times New Roman" w:hAnsi="Times New Roman" w:eastAsia="方正仿宋_GBK" w:cs="Times New Roman"/>
                <w:color w:val="000000"/>
                <w:sz w:val="28"/>
                <w:szCs w:val="32"/>
              </w:rPr>
            </w:pPr>
          </w:p>
        </w:tc>
        <w:tc>
          <w:tcPr>
            <w:tcW w:w="1160" w:type="dxa"/>
            <w:tcBorders>
              <w:top w:val="nil"/>
              <w:left w:val="nil"/>
              <w:bottom w:val="single" w:color="auto" w:sz="4" w:space="0"/>
              <w:right w:val="single" w:color="auto" w:sz="4" w:space="0"/>
            </w:tcBorders>
            <w:shd w:val="clear" w:color="auto" w:fill="auto"/>
            <w:noWrap/>
            <w:vAlign w:val="center"/>
          </w:tcPr>
          <w:p w14:paraId="620F562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095136 </w:t>
            </w:r>
          </w:p>
        </w:tc>
        <w:tc>
          <w:tcPr>
            <w:tcW w:w="2976" w:type="dxa"/>
            <w:tcBorders>
              <w:top w:val="nil"/>
              <w:left w:val="nil"/>
              <w:bottom w:val="single" w:color="auto" w:sz="4" w:space="0"/>
              <w:right w:val="single" w:color="auto" w:sz="4" w:space="0"/>
            </w:tcBorders>
            <w:shd w:val="clear" w:color="auto" w:fill="auto"/>
            <w:noWrap/>
            <w:vAlign w:val="center"/>
          </w:tcPr>
          <w:p w14:paraId="215CDE6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农业工程与信息技术</w:t>
            </w:r>
          </w:p>
        </w:tc>
      </w:tr>
      <w:tr w14:paraId="00779B8C">
        <w:tblPrEx>
          <w:tblCellMar>
            <w:top w:w="0" w:type="dxa"/>
            <w:left w:w="108" w:type="dxa"/>
            <w:bottom w:w="0" w:type="dxa"/>
            <w:right w:w="108" w:type="dxa"/>
          </w:tblCellMar>
        </w:tblPrEx>
        <w:trPr>
          <w:trHeight w:val="348" w:hRule="atLeast"/>
          <w:jc w:val="center"/>
        </w:trPr>
        <w:tc>
          <w:tcPr>
            <w:tcW w:w="880" w:type="dxa"/>
            <w:vMerge w:val="continue"/>
            <w:tcBorders>
              <w:top w:val="nil"/>
              <w:left w:val="single" w:color="auto" w:sz="4" w:space="0"/>
              <w:bottom w:val="single" w:color="auto" w:sz="4" w:space="0"/>
              <w:right w:val="single" w:color="auto" w:sz="4" w:space="0"/>
            </w:tcBorders>
            <w:vAlign w:val="center"/>
          </w:tcPr>
          <w:p w14:paraId="7BC6BC11">
            <w:pPr>
              <w:snapToGrid w:val="0"/>
              <w:jc w:val="center"/>
              <w:rPr>
                <w:rFonts w:hint="default" w:ascii="Times New Roman" w:hAnsi="Times New Roman" w:eastAsia="方正仿宋_GBK" w:cs="Times New Roman"/>
                <w:color w:val="000000"/>
                <w:sz w:val="28"/>
                <w:szCs w:val="32"/>
              </w:rPr>
            </w:pPr>
          </w:p>
        </w:tc>
        <w:tc>
          <w:tcPr>
            <w:tcW w:w="1000" w:type="dxa"/>
            <w:vMerge w:val="continue"/>
            <w:tcBorders>
              <w:top w:val="nil"/>
              <w:left w:val="single" w:color="auto" w:sz="4" w:space="0"/>
              <w:bottom w:val="single" w:color="auto" w:sz="4" w:space="0"/>
              <w:right w:val="single" w:color="auto" w:sz="4" w:space="0"/>
            </w:tcBorders>
            <w:vAlign w:val="center"/>
          </w:tcPr>
          <w:p w14:paraId="2497B204">
            <w:pPr>
              <w:snapToGrid w:val="0"/>
              <w:jc w:val="center"/>
              <w:rPr>
                <w:rFonts w:hint="default" w:ascii="Times New Roman" w:hAnsi="Times New Roman" w:eastAsia="方正仿宋_GBK" w:cs="Times New Roman"/>
                <w:color w:val="000000"/>
                <w:sz w:val="28"/>
                <w:szCs w:val="32"/>
              </w:rPr>
            </w:pPr>
          </w:p>
        </w:tc>
        <w:tc>
          <w:tcPr>
            <w:tcW w:w="2413" w:type="dxa"/>
            <w:vMerge w:val="continue"/>
            <w:tcBorders>
              <w:top w:val="nil"/>
              <w:left w:val="single" w:color="auto" w:sz="4" w:space="0"/>
              <w:bottom w:val="single" w:color="auto" w:sz="4" w:space="0"/>
              <w:right w:val="single" w:color="auto" w:sz="4" w:space="0"/>
            </w:tcBorders>
            <w:vAlign w:val="center"/>
          </w:tcPr>
          <w:p w14:paraId="0BB78E25">
            <w:pPr>
              <w:snapToGrid w:val="0"/>
              <w:jc w:val="center"/>
              <w:rPr>
                <w:rFonts w:hint="default" w:ascii="Times New Roman" w:hAnsi="Times New Roman" w:eastAsia="方正仿宋_GBK" w:cs="Times New Roman"/>
                <w:color w:val="000000"/>
                <w:sz w:val="28"/>
                <w:szCs w:val="32"/>
              </w:rPr>
            </w:pPr>
          </w:p>
        </w:tc>
        <w:tc>
          <w:tcPr>
            <w:tcW w:w="1160" w:type="dxa"/>
            <w:tcBorders>
              <w:top w:val="nil"/>
              <w:left w:val="nil"/>
              <w:bottom w:val="single" w:color="auto" w:sz="4" w:space="0"/>
              <w:right w:val="single" w:color="auto" w:sz="4" w:space="0"/>
            </w:tcBorders>
            <w:shd w:val="clear" w:color="auto" w:fill="auto"/>
            <w:noWrap/>
            <w:vAlign w:val="center"/>
          </w:tcPr>
          <w:p w14:paraId="3791F3F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095137 </w:t>
            </w:r>
          </w:p>
        </w:tc>
        <w:tc>
          <w:tcPr>
            <w:tcW w:w="2976" w:type="dxa"/>
            <w:tcBorders>
              <w:top w:val="nil"/>
              <w:left w:val="nil"/>
              <w:bottom w:val="single" w:color="auto" w:sz="4" w:space="0"/>
              <w:right w:val="single" w:color="auto" w:sz="4" w:space="0"/>
            </w:tcBorders>
            <w:shd w:val="clear" w:color="auto" w:fill="auto"/>
            <w:noWrap/>
            <w:vAlign w:val="center"/>
          </w:tcPr>
          <w:p w14:paraId="4F9B9D26">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农业管理</w:t>
            </w:r>
          </w:p>
        </w:tc>
      </w:tr>
      <w:tr w14:paraId="3120490A">
        <w:tblPrEx>
          <w:tblCellMar>
            <w:top w:w="0" w:type="dxa"/>
            <w:left w:w="108" w:type="dxa"/>
            <w:bottom w:w="0" w:type="dxa"/>
            <w:right w:w="108" w:type="dxa"/>
          </w:tblCellMar>
        </w:tblPrEx>
        <w:trPr>
          <w:trHeight w:val="348" w:hRule="atLeast"/>
          <w:jc w:val="center"/>
        </w:trPr>
        <w:tc>
          <w:tcPr>
            <w:tcW w:w="880" w:type="dxa"/>
            <w:vMerge w:val="continue"/>
            <w:tcBorders>
              <w:top w:val="nil"/>
              <w:left w:val="single" w:color="auto" w:sz="4" w:space="0"/>
              <w:bottom w:val="single" w:color="auto" w:sz="4" w:space="0"/>
              <w:right w:val="single" w:color="auto" w:sz="4" w:space="0"/>
            </w:tcBorders>
            <w:vAlign w:val="center"/>
          </w:tcPr>
          <w:p w14:paraId="1263EE83">
            <w:pPr>
              <w:snapToGrid w:val="0"/>
              <w:jc w:val="center"/>
              <w:rPr>
                <w:rFonts w:hint="default" w:ascii="Times New Roman" w:hAnsi="Times New Roman" w:eastAsia="方正仿宋_GBK" w:cs="Times New Roman"/>
                <w:color w:val="000000"/>
                <w:sz w:val="28"/>
                <w:szCs w:val="32"/>
              </w:rPr>
            </w:pPr>
          </w:p>
        </w:tc>
        <w:tc>
          <w:tcPr>
            <w:tcW w:w="1000" w:type="dxa"/>
            <w:vMerge w:val="continue"/>
            <w:tcBorders>
              <w:top w:val="nil"/>
              <w:left w:val="single" w:color="auto" w:sz="4" w:space="0"/>
              <w:bottom w:val="single" w:color="auto" w:sz="4" w:space="0"/>
              <w:right w:val="single" w:color="auto" w:sz="4" w:space="0"/>
            </w:tcBorders>
            <w:vAlign w:val="center"/>
          </w:tcPr>
          <w:p w14:paraId="480B970D">
            <w:pPr>
              <w:snapToGrid w:val="0"/>
              <w:jc w:val="center"/>
              <w:rPr>
                <w:rFonts w:hint="default" w:ascii="Times New Roman" w:hAnsi="Times New Roman" w:eastAsia="方正仿宋_GBK" w:cs="Times New Roman"/>
                <w:color w:val="000000"/>
                <w:sz w:val="28"/>
                <w:szCs w:val="32"/>
              </w:rPr>
            </w:pPr>
          </w:p>
        </w:tc>
        <w:tc>
          <w:tcPr>
            <w:tcW w:w="2413" w:type="dxa"/>
            <w:vMerge w:val="continue"/>
            <w:tcBorders>
              <w:top w:val="nil"/>
              <w:left w:val="single" w:color="auto" w:sz="4" w:space="0"/>
              <w:bottom w:val="single" w:color="auto" w:sz="4" w:space="0"/>
              <w:right w:val="single" w:color="auto" w:sz="4" w:space="0"/>
            </w:tcBorders>
            <w:vAlign w:val="center"/>
          </w:tcPr>
          <w:p w14:paraId="18862667">
            <w:pPr>
              <w:snapToGrid w:val="0"/>
              <w:jc w:val="center"/>
              <w:rPr>
                <w:rFonts w:hint="default" w:ascii="Times New Roman" w:hAnsi="Times New Roman" w:eastAsia="方正仿宋_GBK" w:cs="Times New Roman"/>
                <w:color w:val="000000"/>
                <w:sz w:val="28"/>
                <w:szCs w:val="32"/>
              </w:rPr>
            </w:pPr>
          </w:p>
        </w:tc>
        <w:tc>
          <w:tcPr>
            <w:tcW w:w="1160" w:type="dxa"/>
            <w:tcBorders>
              <w:top w:val="nil"/>
              <w:left w:val="nil"/>
              <w:bottom w:val="single" w:color="auto" w:sz="4" w:space="0"/>
              <w:right w:val="single" w:color="auto" w:sz="4" w:space="0"/>
            </w:tcBorders>
            <w:shd w:val="clear" w:color="auto" w:fill="auto"/>
            <w:noWrap/>
            <w:vAlign w:val="center"/>
          </w:tcPr>
          <w:p w14:paraId="3A44B127">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095138 </w:t>
            </w:r>
          </w:p>
        </w:tc>
        <w:tc>
          <w:tcPr>
            <w:tcW w:w="2976" w:type="dxa"/>
            <w:tcBorders>
              <w:top w:val="nil"/>
              <w:left w:val="nil"/>
              <w:bottom w:val="single" w:color="auto" w:sz="4" w:space="0"/>
              <w:right w:val="single" w:color="auto" w:sz="4" w:space="0"/>
            </w:tcBorders>
            <w:shd w:val="clear" w:color="auto" w:fill="auto"/>
            <w:noWrap/>
            <w:vAlign w:val="center"/>
          </w:tcPr>
          <w:p w14:paraId="1879F96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农村发展</w:t>
            </w:r>
          </w:p>
        </w:tc>
      </w:tr>
      <w:tr w14:paraId="765402E1">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42CCAAC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11 </w:t>
            </w:r>
          </w:p>
        </w:tc>
        <w:tc>
          <w:tcPr>
            <w:tcW w:w="1000" w:type="dxa"/>
            <w:tcBorders>
              <w:top w:val="nil"/>
              <w:left w:val="nil"/>
              <w:bottom w:val="single" w:color="auto" w:sz="4" w:space="0"/>
              <w:right w:val="single" w:color="auto" w:sz="4" w:space="0"/>
            </w:tcBorders>
            <w:shd w:val="clear" w:color="auto" w:fill="auto"/>
            <w:noWrap/>
            <w:vAlign w:val="center"/>
          </w:tcPr>
          <w:p w14:paraId="168BFD8D">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0953</w:t>
            </w:r>
          </w:p>
        </w:tc>
        <w:tc>
          <w:tcPr>
            <w:tcW w:w="2413" w:type="dxa"/>
            <w:tcBorders>
              <w:top w:val="nil"/>
              <w:left w:val="nil"/>
              <w:bottom w:val="single" w:color="auto" w:sz="4" w:space="0"/>
              <w:right w:val="single" w:color="auto" w:sz="4" w:space="0"/>
            </w:tcBorders>
            <w:shd w:val="clear" w:color="auto" w:fill="auto"/>
            <w:noWrap/>
            <w:vAlign w:val="center"/>
          </w:tcPr>
          <w:p w14:paraId="451E7F9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风景园林</w:t>
            </w:r>
          </w:p>
        </w:tc>
        <w:tc>
          <w:tcPr>
            <w:tcW w:w="1160" w:type="dxa"/>
            <w:tcBorders>
              <w:top w:val="nil"/>
              <w:left w:val="nil"/>
              <w:bottom w:val="single" w:color="auto" w:sz="4" w:space="0"/>
              <w:right w:val="single" w:color="auto" w:sz="4" w:space="0"/>
            </w:tcBorders>
            <w:shd w:val="clear" w:color="auto" w:fill="auto"/>
            <w:noWrap/>
            <w:vAlign w:val="center"/>
          </w:tcPr>
          <w:p w14:paraId="31AD223B">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5F3EFC8D">
            <w:pPr>
              <w:snapToGrid w:val="0"/>
              <w:jc w:val="center"/>
              <w:rPr>
                <w:rFonts w:hint="default" w:ascii="Times New Roman" w:hAnsi="Times New Roman" w:eastAsia="方正仿宋_GBK" w:cs="Times New Roman"/>
                <w:color w:val="000000"/>
                <w:sz w:val="28"/>
                <w:szCs w:val="32"/>
              </w:rPr>
            </w:pPr>
          </w:p>
        </w:tc>
      </w:tr>
      <w:tr w14:paraId="1B1E90B4">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35ED8032">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12 </w:t>
            </w:r>
          </w:p>
        </w:tc>
        <w:tc>
          <w:tcPr>
            <w:tcW w:w="1000" w:type="dxa"/>
            <w:tcBorders>
              <w:top w:val="nil"/>
              <w:left w:val="nil"/>
              <w:bottom w:val="single" w:color="auto" w:sz="4" w:space="0"/>
              <w:right w:val="single" w:color="auto" w:sz="4" w:space="0"/>
            </w:tcBorders>
            <w:shd w:val="clear" w:color="auto" w:fill="auto"/>
            <w:noWrap/>
            <w:vAlign w:val="center"/>
          </w:tcPr>
          <w:p w14:paraId="3536FBF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0954</w:t>
            </w:r>
          </w:p>
        </w:tc>
        <w:tc>
          <w:tcPr>
            <w:tcW w:w="2413" w:type="dxa"/>
            <w:tcBorders>
              <w:top w:val="nil"/>
              <w:left w:val="nil"/>
              <w:bottom w:val="single" w:color="auto" w:sz="4" w:space="0"/>
              <w:right w:val="single" w:color="auto" w:sz="4" w:space="0"/>
            </w:tcBorders>
            <w:shd w:val="clear" w:color="auto" w:fill="auto"/>
            <w:noWrap/>
            <w:vAlign w:val="center"/>
          </w:tcPr>
          <w:p w14:paraId="2AFCF93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林业</w:t>
            </w:r>
          </w:p>
        </w:tc>
        <w:tc>
          <w:tcPr>
            <w:tcW w:w="1160" w:type="dxa"/>
            <w:tcBorders>
              <w:top w:val="nil"/>
              <w:left w:val="nil"/>
              <w:bottom w:val="single" w:color="auto" w:sz="4" w:space="0"/>
              <w:right w:val="single" w:color="auto" w:sz="4" w:space="0"/>
            </w:tcBorders>
            <w:shd w:val="clear" w:color="auto" w:fill="auto"/>
            <w:noWrap/>
            <w:vAlign w:val="center"/>
          </w:tcPr>
          <w:p w14:paraId="488E6895">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6FF2042F">
            <w:pPr>
              <w:snapToGrid w:val="0"/>
              <w:jc w:val="center"/>
              <w:rPr>
                <w:rFonts w:hint="default" w:ascii="Times New Roman" w:hAnsi="Times New Roman" w:eastAsia="方正仿宋_GBK" w:cs="Times New Roman"/>
                <w:color w:val="000000"/>
                <w:sz w:val="28"/>
                <w:szCs w:val="32"/>
              </w:rPr>
            </w:pPr>
          </w:p>
        </w:tc>
      </w:tr>
      <w:tr w14:paraId="69545754">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41884193">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13 </w:t>
            </w:r>
          </w:p>
        </w:tc>
        <w:tc>
          <w:tcPr>
            <w:tcW w:w="1000" w:type="dxa"/>
            <w:tcBorders>
              <w:top w:val="nil"/>
              <w:left w:val="nil"/>
              <w:bottom w:val="single" w:color="auto" w:sz="4" w:space="0"/>
              <w:right w:val="single" w:color="auto" w:sz="4" w:space="0"/>
            </w:tcBorders>
            <w:shd w:val="clear" w:color="auto" w:fill="auto"/>
            <w:noWrap/>
            <w:vAlign w:val="center"/>
          </w:tcPr>
          <w:p w14:paraId="77D7BB2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1252</w:t>
            </w:r>
          </w:p>
        </w:tc>
        <w:tc>
          <w:tcPr>
            <w:tcW w:w="2413" w:type="dxa"/>
            <w:tcBorders>
              <w:top w:val="nil"/>
              <w:left w:val="nil"/>
              <w:bottom w:val="single" w:color="auto" w:sz="4" w:space="0"/>
              <w:right w:val="single" w:color="auto" w:sz="4" w:space="0"/>
            </w:tcBorders>
            <w:shd w:val="clear" w:color="auto" w:fill="auto"/>
            <w:noWrap/>
            <w:vAlign w:val="center"/>
          </w:tcPr>
          <w:p w14:paraId="64D700BD">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公共管理</w:t>
            </w:r>
          </w:p>
        </w:tc>
        <w:tc>
          <w:tcPr>
            <w:tcW w:w="1160" w:type="dxa"/>
            <w:tcBorders>
              <w:top w:val="nil"/>
              <w:left w:val="nil"/>
              <w:bottom w:val="single" w:color="auto" w:sz="4" w:space="0"/>
              <w:right w:val="single" w:color="auto" w:sz="4" w:space="0"/>
            </w:tcBorders>
            <w:shd w:val="clear" w:color="auto" w:fill="auto"/>
            <w:noWrap/>
            <w:vAlign w:val="center"/>
          </w:tcPr>
          <w:p w14:paraId="68076737">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45E6587B">
            <w:pPr>
              <w:snapToGrid w:val="0"/>
              <w:jc w:val="center"/>
              <w:rPr>
                <w:rFonts w:hint="default" w:ascii="Times New Roman" w:hAnsi="Times New Roman" w:eastAsia="方正仿宋_GBK" w:cs="Times New Roman"/>
                <w:color w:val="000000"/>
                <w:sz w:val="28"/>
                <w:szCs w:val="32"/>
              </w:rPr>
            </w:pPr>
          </w:p>
        </w:tc>
      </w:tr>
      <w:tr w14:paraId="1F5ECA44">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20BCFBD6">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14 </w:t>
            </w:r>
          </w:p>
        </w:tc>
        <w:tc>
          <w:tcPr>
            <w:tcW w:w="1000" w:type="dxa"/>
            <w:tcBorders>
              <w:top w:val="nil"/>
              <w:left w:val="nil"/>
              <w:bottom w:val="single" w:color="auto" w:sz="4" w:space="0"/>
              <w:right w:val="single" w:color="auto" w:sz="4" w:space="0"/>
            </w:tcBorders>
            <w:shd w:val="clear" w:color="auto" w:fill="auto"/>
            <w:noWrap/>
            <w:vAlign w:val="center"/>
          </w:tcPr>
          <w:p w14:paraId="5F8D2D8F">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1254</w:t>
            </w:r>
          </w:p>
        </w:tc>
        <w:tc>
          <w:tcPr>
            <w:tcW w:w="2413" w:type="dxa"/>
            <w:tcBorders>
              <w:top w:val="nil"/>
              <w:left w:val="nil"/>
              <w:bottom w:val="single" w:color="auto" w:sz="4" w:space="0"/>
              <w:right w:val="single" w:color="auto" w:sz="4" w:space="0"/>
            </w:tcBorders>
            <w:shd w:val="clear" w:color="auto" w:fill="auto"/>
            <w:noWrap/>
            <w:vAlign w:val="center"/>
          </w:tcPr>
          <w:p w14:paraId="380370DF">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旅游管理</w:t>
            </w:r>
          </w:p>
        </w:tc>
        <w:tc>
          <w:tcPr>
            <w:tcW w:w="1160" w:type="dxa"/>
            <w:tcBorders>
              <w:top w:val="nil"/>
              <w:left w:val="nil"/>
              <w:bottom w:val="single" w:color="auto" w:sz="4" w:space="0"/>
              <w:right w:val="single" w:color="auto" w:sz="4" w:space="0"/>
            </w:tcBorders>
            <w:shd w:val="clear" w:color="auto" w:fill="auto"/>
            <w:noWrap/>
            <w:vAlign w:val="center"/>
          </w:tcPr>
          <w:p w14:paraId="193D8547">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2C111C96">
            <w:pPr>
              <w:snapToGrid w:val="0"/>
              <w:jc w:val="center"/>
              <w:rPr>
                <w:rFonts w:hint="default" w:ascii="Times New Roman" w:hAnsi="Times New Roman" w:eastAsia="方正仿宋_GBK" w:cs="Times New Roman"/>
                <w:color w:val="000000"/>
                <w:sz w:val="28"/>
                <w:szCs w:val="32"/>
              </w:rPr>
            </w:pPr>
          </w:p>
        </w:tc>
      </w:tr>
      <w:tr w14:paraId="5EE517C1">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5979C408">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15 </w:t>
            </w:r>
          </w:p>
        </w:tc>
        <w:tc>
          <w:tcPr>
            <w:tcW w:w="1000" w:type="dxa"/>
            <w:tcBorders>
              <w:top w:val="nil"/>
              <w:left w:val="nil"/>
              <w:bottom w:val="single" w:color="auto" w:sz="4" w:space="0"/>
              <w:right w:val="single" w:color="auto" w:sz="4" w:space="0"/>
            </w:tcBorders>
            <w:shd w:val="clear" w:color="auto" w:fill="auto"/>
            <w:noWrap/>
            <w:vAlign w:val="center"/>
          </w:tcPr>
          <w:p w14:paraId="68C85E75">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1351</w:t>
            </w:r>
          </w:p>
        </w:tc>
        <w:tc>
          <w:tcPr>
            <w:tcW w:w="2413" w:type="dxa"/>
            <w:tcBorders>
              <w:top w:val="nil"/>
              <w:left w:val="nil"/>
              <w:bottom w:val="single" w:color="auto" w:sz="4" w:space="0"/>
              <w:right w:val="single" w:color="auto" w:sz="4" w:space="0"/>
            </w:tcBorders>
            <w:shd w:val="clear" w:color="auto" w:fill="auto"/>
            <w:noWrap/>
            <w:vAlign w:val="center"/>
          </w:tcPr>
          <w:p w14:paraId="3A516EE5">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艺术</w:t>
            </w:r>
          </w:p>
        </w:tc>
        <w:tc>
          <w:tcPr>
            <w:tcW w:w="1160" w:type="dxa"/>
            <w:tcBorders>
              <w:top w:val="nil"/>
              <w:left w:val="nil"/>
              <w:bottom w:val="single" w:color="auto" w:sz="4" w:space="0"/>
              <w:right w:val="single" w:color="auto" w:sz="4" w:space="0"/>
            </w:tcBorders>
            <w:shd w:val="clear" w:color="auto" w:fill="auto"/>
            <w:noWrap/>
            <w:vAlign w:val="center"/>
          </w:tcPr>
          <w:p w14:paraId="0DF8A34B">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66BFACE2">
            <w:pPr>
              <w:snapToGrid w:val="0"/>
              <w:jc w:val="center"/>
              <w:rPr>
                <w:rFonts w:hint="default" w:ascii="Times New Roman" w:hAnsi="Times New Roman" w:eastAsia="方正仿宋_GBK" w:cs="Times New Roman"/>
                <w:color w:val="000000"/>
                <w:sz w:val="28"/>
                <w:szCs w:val="32"/>
              </w:rPr>
            </w:pPr>
          </w:p>
        </w:tc>
      </w:tr>
    </w:tbl>
    <w:p w14:paraId="0C564565">
      <w:pPr>
        <w:pStyle w:val="2"/>
        <w:spacing w:before="156" w:beforeLines="50" w:after="156" w:afterLines="50" w:line="560" w:lineRule="exact"/>
        <w:ind w:firstLine="643"/>
        <w:rPr>
          <w:rStyle w:val="17"/>
          <w:rFonts w:hint="default" w:ascii="Times New Roman" w:hAnsi="Times New Roman" w:eastAsia="方正仿宋_GBK" w:cs="Times New Roman"/>
          <w:b/>
          <w:bCs/>
          <w:color w:val="auto"/>
          <w:szCs w:val="32"/>
        </w:rPr>
      </w:pPr>
      <w:r>
        <w:rPr>
          <w:rStyle w:val="17"/>
          <w:rFonts w:hint="default" w:ascii="Times New Roman" w:hAnsi="Times New Roman" w:eastAsia="方正仿宋_GBK" w:cs="Times New Roman"/>
          <w:b/>
          <w:bCs/>
          <w:color w:val="auto"/>
          <w:szCs w:val="32"/>
        </w:rPr>
        <w:t>（二）学科建设情况</w:t>
      </w:r>
    </w:p>
    <w:p w14:paraId="7E0AD4D1">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学校高度重视学科布局，坚持以需求为导向，不断优化学科结构，坚持走优化结构、提升质量的内涵式发展道路。学校现有云南省A类高峰学科1个、B类高峰学科2个、B类高峰学科优势特色研究方向1个，A类高原学科2个；国家林业和草原局重点学科6个、培育学科1个。</w:t>
      </w:r>
    </w:p>
    <w:p w14:paraId="780A7650">
      <w:pPr>
        <w:pStyle w:val="2"/>
        <w:keepNext w:val="0"/>
        <w:keepLines w:val="0"/>
        <w:pageBreakBefore w:val="0"/>
        <w:kinsoku/>
        <w:wordWrap/>
        <w:overflowPunct/>
        <w:topLinePunct w:val="0"/>
        <w:autoSpaceDE/>
        <w:autoSpaceDN/>
        <w:bidi w:val="0"/>
        <w:adjustRightInd/>
        <w:snapToGrid/>
        <w:spacing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2021年，学校制定了《西南林业大学“十四五”学科建设与研究生教育专项规划》，提出了以林学与生物学、生物质材料与化学品、人居环境、生态与环境、农林经济等5大学科群建设为抓手，以分类分层建设为思路，推进学科建设治理体系的现代化，实现“十四五”末学科结构更加合理、体系更加完备，学位点数量稳步增长，学科水平稳步提高的建设目标。2021年学校获批1个博士学位授权点、2个硕士学位授权点、7个专业学位类别，获省里学科建设奖补资金1740万元，主要用于新增学位点建设，进一步优化学校学科结构布局，进一步凸显学科特色。学校组织完成了新一轮学位点省级立项建设申报工作，其中，系统科学、生态学为博士学位授权点省级立项建设、材料与化工为博士专业学位省级立项建设；土木工程、食品科学与工程、农业资源与环境、信息与通信工程为硕士学位授权点省级立项建设；应用统计、电子信息、城市规划为硕士专业学位省级立项建设，为学校下一轮学位授权点申报工作打下了坚实的基础。完成国家林业和草原局第二轮重点学科验收以及第三轮重点学科申报工作。</w:t>
      </w:r>
    </w:p>
    <w:p w14:paraId="6F3A349B">
      <w:pPr>
        <w:pStyle w:val="2"/>
        <w:spacing w:before="156" w:beforeLines="50" w:after="156" w:afterLines="50" w:line="560" w:lineRule="exact"/>
        <w:ind w:firstLine="643"/>
        <w:rPr>
          <w:rStyle w:val="17"/>
          <w:rFonts w:hint="default" w:ascii="Times New Roman" w:hAnsi="Times New Roman" w:eastAsia="方正仿宋_GBK" w:cs="Times New Roman"/>
          <w:b/>
          <w:bCs/>
          <w:color w:val="auto"/>
          <w:szCs w:val="32"/>
        </w:rPr>
      </w:pPr>
      <w:r>
        <w:rPr>
          <w:rStyle w:val="17"/>
          <w:rFonts w:hint="default" w:ascii="Times New Roman" w:hAnsi="Times New Roman" w:eastAsia="方正仿宋_GBK" w:cs="Times New Roman"/>
          <w:b/>
          <w:bCs/>
          <w:color w:val="auto"/>
          <w:szCs w:val="32"/>
        </w:rPr>
        <w:t>（三）研究生招生、在读、毕业、学位授予及就业基本状况</w:t>
      </w:r>
    </w:p>
    <w:p w14:paraId="45CE7ECA">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1. 招生：完成2021级研究生招生工作，共招收博士研究生39人、硕士研究生1221人。博士生较上年增加5人，硕士研究生增加102人，总增长率9%。</w:t>
      </w:r>
    </w:p>
    <w:p w14:paraId="44A3EFC8">
      <w:pPr>
        <w:pStyle w:val="2"/>
        <w:keepNext w:val="0"/>
        <w:keepLines w:val="0"/>
        <w:pageBreakBefore w:val="0"/>
        <w:kinsoku/>
        <w:wordWrap/>
        <w:overflowPunct/>
        <w:topLinePunct w:val="0"/>
        <w:autoSpaceDE/>
        <w:autoSpaceDN/>
        <w:bidi w:val="0"/>
        <w:adjustRightInd/>
        <w:snapToGrid/>
        <w:spacing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2. 在读：截</w:t>
      </w:r>
      <w:r>
        <w:rPr>
          <w:rStyle w:val="17"/>
          <w:rFonts w:hint="default" w:ascii="Times New Roman" w:hAnsi="Times New Roman" w:eastAsia="方正仿宋_GBK" w:cs="Times New Roman"/>
          <w:color w:val="auto"/>
          <w:szCs w:val="32"/>
          <w:lang w:val="en-US"/>
        </w:rPr>
        <w:t>至</w:t>
      </w:r>
      <w:r>
        <w:rPr>
          <w:rStyle w:val="17"/>
          <w:rFonts w:hint="default" w:ascii="Times New Roman" w:hAnsi="Times New Roman" w:eastAsia="方正仿宋_GBK" w:cs="Times New Roman"/>
          <w:color w:val="auto"/>
          <w:szCs w:val="32"/>
        </w:rPr>
        <w:t>2021年底，学校有各类研究生3333人，其中博士研究生105人均为全日制，硕士研究生共3228人，其中全日制硕士研究生2470人（包括学术型硕士研究生1280人，硕士专业学位研究生1190人），非全日制硕士研究生758人（包括学术型硕士研究生247人，硕士专业学位研究生511人）。</w:t>
      </w:r>
    </w:p>
    <w:p w14:paraId="1AEAAB93">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3. 毕业授位：博士毕业生符合毕业条件的2人，授予博士学位2人；学术学位硕士研究生中全日制研究生毕业271人、授位246人；非全日制研究生毕业63人、授位49人。因专业学位研究生学制从2019级开始由2年调整为3年，故当年无毕业生。</w:t>
      </w:r>
    </w:p>
    <w:p w14:paraId="21656A44">
      <w:pPr>
        <w:pStyle w:val="2"/>
        <w:keepNext w:val="0"/>
        <w:keepLines w:val="0"/>
        <w:pageBreakBefore w:val="0"/>
        <w:kinsoku/>
        <w:wordWrap/>
        <w:overflowPunct/>
        <w:topLinePunct w:val="0"/>
        <w:autoSpaceDE/>
        <w:autoSpaceDN/>
        <w:bidi w:val="0"/>
        <w:adjustRightInd/>
        <w:snapToGrid/>
        <w:spacing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4. 就业：2021届博士研究生毕业5人</w:t>
      </w:r>
      <w:r>
        <w:rPr>
          <w:rStyle w:val="17"/>
          <w:rFonts w:hint="eastAsia" w:ascii="Times New Roman" w:hAnsi="Times New Roman" w:eastAsia="方正仿宋_GBK" w:cs="Times New Roman"/>
          <w:color w:val="auto"/>
          <w:szCs w:val="32"/>
        </w:rPr>
        <w:t>，</w:t>
      </w:r>
      <w:r>
        <w:rPr>
          <w:rStyle w:val="17"/>
          <w:rFonts w:hint="default" w:ascii="Times New Roman" w:hAnsi="Times New Roman" w:eastAsia="方正仿宋_GBK" w:cs="Times New Roman"/>
          <w:color w:val="auto"/>
          <w:szCs w:val="32"/>
        </w:rPr>
        <w:t>就业5人，初次就业率100%；硕士研究生毕业366人，就业273人，初次就业率74.59%。</w:t>
      </w:r>
    </w:p>
    <w:p w14:paraId="4EAC6594">
      <w:pPr>
        <w:pStyle w:val="2"/>
        <w:spacing w:before="156" w:beforeLines="50" w:after="156" w:afterLines="50" w:line="560" w:lineRule="exact"/>
        <w:ind w:firstLine="643"/>
        <w:rPr>
          <w:rStyle w:val="17"/>
          <w:rFonts w:hint="default" w:ascii="Times New Roman" w:hAnsi="Times New Roman" w:eastAsia="方正仿宋_GBK" w:cs="Times New Roman"/>
          <w:b/>
          <w:bCs/>
          <w:color w:val="auto"/>
          <w:szCs w:val="32"/>
        </w:rPr>
      </w:pPr>
      <w:r>
        <w:rPr>
          <w:rStyle w:val="17"/>
          <w:rFonts w:hint="default" w:ascii="Times New Roman" w:hAnsi="Times New Roman" w:eastAsia="方正仿宋_GBK" w:cs="Times New Roman"/>
          <w:b/>
          <w:bCs/>
          <w:color w:val="auto"/>
          <w:szCs w:val="32"/>
        </w:rPr>
        <w:t>（四）研究生导师状况</w:t>
      </w:r>
    </w:p>
    <w:p w14:paraId="00317A9A">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截至2021年12月，西南林业大学现有研究生导师936人，其中博士生导师153人，硕士生导师783人。</w:t>
      </w:r>
    </w:p>
    <w:p w14:paraId="2CA97EA5">
      <w:pPr>
        <w:pStyle w:val="2"/>
        <w:keepNext w:val="0"/>
        <w:keepLines w:val="0"/>
        <w:pageBreakBefore w:val="0"/>
        <w:kinsoku/>
        <w:wordWrap/>
        <w:overflowPunct/>
        <w:topLinePunct w:val="0"/>
        <w:autoSpaceDE/>
        <w:autoSpaceDN/>
        <w:bidi w:val="0"/>
        <w:adjustRightInd/>
        <w:snapToGrid/>
        <w:spacing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博士生导师153人，均具有正高级职称；具有博士学位140人占比92%，硕士学位13人占比8%；本校博导121人占比79%，外聘33人占比21%，女性40人占比26%。</w:t>
      </w:r>
    </w:p>
    <w:p w14:paraId="05DB7C7A">
      <w:pPr>
        <w:pStyle w:val="2"/>
        <w:keepNext w:val="0"/>
        <w:keepLines w:val="0"/>
        <w:pageBreakBefore w:val="0"/>
        <w:kinsoku/>
        <w:wordWrap/>
        <w:overflowPunct/>
        <w:topLinePunct w:val="0"/>
        <w:autoSpaceDE/>
        <w:autoSpaceDN/>
        <w:bidi w:val="0"/>
        <w:adjustRightInd/>
        <w:snapToGrid/>
        <w:spacing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硕士生导师783人，具有正高级职称288人占比37%，副高级职称611人占比78%，讲师职称57人占比7%；具有博士学位172人占比22%，硕士学位578人占比74%；本校硕导497人占比63%，外聘硕导281人占比36座，女性232人占比30%。</w:t>
      </w:r>
    </w:p>
    <w:p w14:paraId="203D84F1">
      <w:pPr>
        <w:pStyle w:val="2"/>
        <w:snapToGrid w:val="0"/>
        <w:spacing w:before="156" w:beforeLines="50" w:after="156" w:afterLines="50" w:line="560" w:lineRule="exact"/>
        <w:rPr>
          <w:rStyle w:val="17"/>
          <w:rFonts w:hint="default" w:ascii="Times New Roman" w:hAnsi="Times New Roman" w:eastAsia="方正楷体_GB2312" w:cs="Times New Roman"/>
          <w:color w:val="auto"/>
          <w:szCs w:val="32"/>
        </w:rPr>
      </w:pPr>
      <w:r>
        <w:rPr>
          <w:rStyle w:val="17"/>
          <w:rFonts w:hint="default" w:ascii="Times New Roman" w:hAnsi="Times New Roman" w:eastAsia="方正楷体_GB2312" w:cs="Times New Roman"/>
          <w:color w:val="auto"/>
          <w:szCs w:val="32"/>
        </w:rPr>
        <w:t>二、研究生党建与思想政治教育工作</w:t>
      </w:r>
    </w:p>
    <w:p w14:paraId="1FBDC143">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2021年度“清廉西林”文化周期间，组织研究生召开“清廉西林”主题班会，与学生处、校团委和林学院联合举办西南林业大学2021年诚信教育主题活动暨第十三届相声小品情景剧大赛。召开毕业生座谈会，认真听取学生反馈的意见和建议，了解学生关注的热点、难点；联系各职能部门，共同解决师生实际困难；做好来访师生的答疑解惑和报告协调工作，切实将问题和矛盾解决在萌芽状态。</w:t>
      </w:r>
    </w:p>
    <w:p w14:paraId="640B6571">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认真贯彻落实好党中央、国务院、省委、学校关于统筹做好新冠疫情防控等重大决策部署。坚持每日上报学生健康数据；积极组织学生接种新冠疫苗，并坚持每周上报学生疫苗接种最新情况统计；组织做好两批次集中授课非全日制研究生的返校审核和日常管理；做好假期留校学生管理与服务；做好开学季老生返校和新生报到疫情防控工作，特别是中高风险区零星返校学生的隔离观察协调工作。</w:t>
      </w:r>
    </w:p>
    <w:p w14:paraId="6912B468">
      <w:pPr>
        <w:pStyle w:val="2"/>
        <w:snapToGrid w:val="0"/>
        <w:spacing w:before="156" w:beforeLines="50" w:after="156" w:afterLines="50" w:line="560" w:lineRule="exact"/>
        <w:rPr>
          <w:rStyle w:val="17"/>
          <w:rFonts w:hint="default" w:ascii="Times New Roman" w:hAnsi="Times New Roman" w:eastAsia="方正楷体_GB2312" w:cs="Times New Roman"/>
          <w:color w:val="auto"/>
          <w:szCs w:val="32"/>
        </w:rPr>
      </w:pPr>
      <w:r>
        <w:rPr>
          <w:rStyle w:val="17"/>
          <w:rFonts w:hint="default" w:ascii="Times New Roman" w:hAnsi="Times New Roman" w:eastAsia="方正楷体_GB2312" w:cs="Times New Roman"/>
          <w:color w:val="auto"/>
          <w:szCs w:val="32"/>
        </w:rPr>
        <w:t>三、研究生培养相关制度及执行情况</w:t>
      </w:r>
    </w:p>
    <w:p w14:paraId="784ABC2E">
      <w:pPr>
        <w:pStyle w:val="2"/>
        <w:spacing w:before="156" w:beforeLines="50" w:after="156" w:afterLines="50" w:line="560" w:lineRule="exact"/>
        <w:ind w:firstLine="643"/>
        <w:rPr>
          <w:rStyle w:val="17"/>
          <w:rFonts w:hint="default" w:ascii="Times New Roman" w:hAnsi="Times New Roman" w:eastAsia="方正仿宋_GBK" w:cs="Times New Roman"/>
          <w:b/>
          <w:bCs/>
          <w:color w:val="auto"/>
          <w:szCs w:val="32"/>
        </w:rPr>
      </w:pPr>
      <w:r>
        <w:rPr>
          <w:rStyle w:val="17"/>
          <w:rFonts w:hint="default" w:ascii="Times New Roman" w:hAnsi="Times New Roman" w:eastAsia="方正仿宋_GBK" w:cs="Times New Roman"/>
          <w:b/>
          <w:bCs/>
          <w:color w:val="auto"/>
          <w:szCs w:val="32"/>
        </w:rPr>
        <w:t>（一）课程建设与实施情况</w:t>
      </w:r>
    </w:p>
    <w:p w14:paraId="1E17B2D8">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1. 课程建设</w:t>
      </w:r>
    </w:p>
    <w:p w14:paraId="1C736B56">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学校将培养目标和学位要求作为课程体系设计的根本依据，强化单体课程的先进性、整体课程的系统性和不同培养阶段课程的衔接性。加强学位核心课程和教材建设，突出抓好优质课程建设，充分体现教学学院的学科特色和专业优势。优化基础课、专业课、必修课、选修课、实践课等的比例，增设一定比例跨学科课程，增加学科前沿、研究方法类、研讨类和实践类等课程和短而精课程、模块化课程。把学术规范、论文写作指导、学术伦理和职业道德教育等课程作为必修环节纳入课程体系。</w:t>
      </w:r>
    </w:p>
    <w:p w14:paraId="5BD980D0">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2. 教学方法</w:t>
      </w:r>
    </w:p>
    <w:p w14:paraId="47D1D142">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开展探究式、讨论式、互动式教学，注重前沿引领和方法传授，培养研究生自主学习和独立开展科学研究的能力；加强教学服务平台和数字化课程中心建设，为研究生课程学习提供信息和技术支持；以课程教学目标为依据，创新考核方式，探索课程考试、课程论文、社会调研、作品设计等多种考核形式，全面检测和评价研究生的学习过程、学习行为和学习结果。</w:t>
      </w:r>
    </w:p>
    <w:p w14:paraId="3E52FDFC">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3. 以评促建</w:t>
      </w:r>
    </w:p>
    <w:p w14:paraId="64011441">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课程教学质量评价是研究生教育质量保障体系的重要组成部分，是实现教学目标的重要保证。根据《西南林业大学研究生课程教学质量评价暂行办法》的相关规定，所有研究生课程均进行课程教学质量评价。评价指标包括教学态度、教学内容、教学方法、教学效果等； 评价方式包括学生评价、同行评价、专家评价。研究生学位课程的教学评价由研究生院负责组织实施，非学位课程的教学评价由各学院、部负责组织实施。实践表明，课程教学质量评价是不断提高研究生课程教学水平的重要举措之一。</w:t>
      </w:r>
    </w:p>
    <w:p w14:paraId="4FD57C74">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4. 信息化建设</w:t>
      </w:r>
    </w:p>
    <w:p w14:paraId="1221B357">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加强网络课程平台建设，提高教育资源的网络化、数字化水平根据各学科人才培养目标的不同，积极推进课程模块化和集群化建设。各个课程群中的核心课程任课教师担任该课程群的首席负责人，负责课程群知识体系的构架、与各任课教师就该课程授课内容、知识结构、授课重点等进行沟通交流，负责对课程群的系统性建设及知识体系的构架工作。对一些课程建设成果显著的核心课程，如国家级精品课程《胶粘剂与涂料》、云南省精品课程《人造板生产工艺学》和《天然产物化学》等课程，全面实施课程的信息化，推进优质教学资源共享。鼓励任课教师积极申报中国教育在线慕课课程的申报和实施。目前，我校沈华杰老师团队制作的大规模开放在线课程（慕课）“家具设计与制造”顺利在国际级慕课平台“学堂在线”上线。这是我校首门成功上线的慕课，是我校近年来进行教育信息化探索和改革取得的重大成果。</w:t>
      </w:r>
    </w:p>
    <w:p w14:paraId="3FF758CD">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5. 质量工程项目建设</w:t>
      </w:r>
    </w:p>
    <w:p w14:paraId="05792C42">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学校积极申报教育厅质量工程建设项目，充分发挥课程建设项目的示范引领作用，促进研究生课程建设。2021年我校6门“省级研究生优质课程”、12个“省级专业学位研究生教学案例库”获批立项建设。</w:t>
      </w:r>
    </w:p>
    <w:p w14:paraId="10EDF0A9">
      <w:pPr>
        <w:pStyle w:val="2"/>
        <w:spacing w:before="156" w:beforeLines="50" w:after="156" w:afterLines="50" w:line="560" w:lineRule="exact"/>
        <w:ind w:firstLine="643"/>
        <w:rPr>
          <w:rStyle w:val="17"/>
          <w:rFonts w:hint="default" w:ascii="Times New Roman" w:hAnsi="Times New Roman" w:eastAsia="方正仿宋_GBK" w:cs="Times New Roman"/>
          <w:b/>
          <w:bCs/>
          <w:color w:val="auto"/>
          <w:szCs w:val="32"/>
        </w:rPr>
      </w:pPr>
      <w:r>
        <w:rPr>
          <w:rStyle w:val="17"/>
          <w:rFonts w:hint="default" w:ascii="Times New Roman" w:hAnsi="Times New Roman" w:eastAsia="方正仿宋_GBK" w:cs="Times New Roman"/>
          <w:b/>
          <w:bCs/>
          <w:color w:val="auto"/>
          <w:szCs w:val="32"/>
        </w:rPr>
        <w:t>（二）导师选拔培训、师德师风建设情况</w:t>
      </w:r>
    </w:p>
    <w:p w14:paraId="7C7E49F9">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1. 考核选拔机制</w:t>
      </w:r>
    </w:p>
    <w:p w14:paraId="33DA7238">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学校制订《西南林业大学研究生指导教师遴选管理办法》，明确导师遴选条件，规范遴选程序。学校制订《西南林业大学研究生指导教师管理规定（暂行）》，明确导师岗位职责，规范导师考核办法、加强导师日常管理。学校通过制度建设，健全导师岗位选聘制度，对研究生导师岗位实行动态管理，打破终身制。</w:t>
      </w:r>
    </w:p>
    <w:p w14:paraId="26101B58">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研究生导师管理由“资格”制转为“岗位”制，将“资格终身制”调整为“岗位申请制”，学生是其岗位是否存在的第一要素。导师可以根据培养需要配备副导师，积极鼓励和支持导师团队模式联合培养学生。2021年我校3个“省级博士研究生导师团队”、6个“省级硕士研究生导师团队”获批立项建设。</w:t>
      </w:r>
    </w:p>
    <w:p w14:paraId="75717086">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健全考核评价体系，完善考核评价办法。将政治表现、师德师风、学术水平、指导精力投入、育人实效等纳入考核评价体系，对研究生导师履职情况进行综合评价。以年度考核为依托，加强教学过程评价，实行导师自评与同行评价、学生评价、管理人员评价相结合，建立科学合理的评价机制。建立激励示范机制，将考评结果作为绩效分配、评优评先的重要依据，作为导师年度招生资格和招生计划分配的重要依据，充分发挥评价考核的教育、引导和激励功能。规范岗位设置管理，根据学校发展定位、学科发展规划、资源条件、招生计划和师资水平等因素，科学确定研究生导师岗位设置规模；根据学科特点、师德表现、学术水平、科研任务和培养质量，合理确定导师指导研究生的限额，确保导师投入足够的时间和精力培养研究生。</w:t>
      </w:r>
    </w:p>
    <w:p w14:paraId="1D59127B">
      <w:pPr>
        <w:pStyle w:val="2"/>
        <w:snapToGrid w:val="0"/>
        <w:spacing w:after="156" w:afterLines="50" w:line="500" w:lineRule="exact"/>
        <w:rPr>
          <w:rStyle w:val="17"/>
          <w:rFonts w:hint="default" w:ascii="Times New Roman" w:hAnsi="Times New Roman" w:eastAsia="方正仿宋_GBK" w:cs="Times New Roman"/>
          <w:szCs w:val="32"/>
        </w:rPr>
      </w:pPr>
      <w:r>
        <w:rPr>
          <w:rStyle w:val="17"/>
          <w:rFonts w:hint="default" w:ascii="Times New Roman" w:hAnsi="Times New Roman" w:eastAsia="方正仿宋_GBK" w:cs="Times New Roman"/>
          <w:szCs w:val="32"/>
        </w:rPr>
        <w:t>2. 导师培训</w:t>
      </w:r>
    </w:p>
    <w:p w14:paraId="12990011">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加强导师岗位培训,建立三级培训体系,构建新聘导师岗前培训、在岗导师定期培训、日常学习交流相结合的培训制度，加强对培训过程和培训效果的考核。新聘研究生导师必须接受岗前培训，在岗研究生导师每年至少参加一次培训。将政治理论、国情教育、法治教育、导师职责、师德师风、研究生教育政策、教学管理制度、指导方法、科研诚信、学术伦理、学术规范、心理学知识等作为培训内容。</w:t>
      </w:r>
    </w:p>
    <w:p w14:paraId="064EF7F8">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3. 师德师风建设</w:t>
      </w:r>
    </w:p>
    <w:p w14:paraId="28070959">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学校制订《西南林业大学全面落实研究生导师立德树人职责实施细则》，明确将立德树人作为导师的首要职责；加强导师培训，强化导师立德树人职责，实现培训常态化、规范化、专业化，在导师岗前培训、岗中培训、专题培训和常规培训中均将导师立德树人职责作为培训的主要内容；将师德考核结果纳入优秀导师评选机制，强化优秀导师示范引领作用。</w:t>
      </w:r>
    </w:p>
    <w:p w14:paraId="7C61A595">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学校制订《西南林业大学师德负面清单及失范行为处理办法（试行）》，明确教师职业行为负面清单，师德失范行为的处理与问责机制。</w:t>
      </w:r>
    </w:p>
    <w:p w14:paraId="725AB66D">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学校制订《西南林业大学进一步加强和改进师德师风建设的实施意见》，明确了师德师风建设的基本要求，师德师风建设的主要措施等。积极引导教师做有理想信念、有道德情操、有扎实学识、有仁爱之心，做党和人民满意的好老师，努力培养造就一支师德高尚、业务精湛、结构合理、充满活力的高素质专业化教师队伍。</w:t>
      </w:r>
    </w:p>
    <w:p w14:paraId="076F9944">
      <w:pPr>
        <w:pStyle w:val="2"/>
        <w:spacing w:before="156" w:beforeLines="50" w:after="156" w:afterLines="50" w:line="560" w:lineRule="exact"/>
        <w:ind w:firstLine="643"/>
        <w:rPr>
          <w:rStyle w:val="17"/>
          <w:rFonts w:hint="default" w:ascii="Times New Roman" w:hAnsi="Times New Roman" w:eastAsia="方正仿宋_GBK" w:cs="Times New Roman"/>
          <w:b/>
          <w:bCs/>
          <w:color w:val="auto"/>
          <w:szCs w:val="32"/>
        </w:rPr>
      </w:pPr>
      <w:r>
        <w:rPr>
          <w:rStyle w:val="17"/>
          <w:rFonts w:hint="default" w:ascii="Times New Roman" w:hAnsi="Times New Roman" w:eastAsia="方正仿宋_GBK" w:cs="Times New Roman"/>
          <w:b/>
          <w:bCs/>
          <w:color w:val="auto"/>
          <w:szCs w:val="32"/>
        </w:rPr>
        <w:t>（三）学术训练</w:t>
      </w:r>
      <w:r>
        <w:rPr>
          <w:rStyle w:val="17"/>
          <w:rFonts w:hint="eastAsia" w:ascii="Times New Roman" w:hAnsi="Times New Roman" w:eastAsia="方正仿宋_GBK" w:cs="Times New Roman"/>
          <w:b/>
          <w:bCs/>
          <w:color w:val="auto"/>
          <w:szCs w:val="32"/>
          <w:lang w:val="en-US"/>
        </w:rPr>
        <w:t>及</w:t>
      </w:r>
      <w:r>
        <w:rPr>
          <w:rStyle w:val="17"/>
          <w:rFonts w:hint="default" w:ascii="Times New Roman" w:hAnsi="Times New Roman" w:eastAsia="方正仿宋_GBK" w:cs="Times New Roman"/>
          <w:b/>
          <w:bCs/>
          <w:color w:val="auto"/>
          <w:szCs w:val="32"/>
        </w:rPr>
        <w:t>交流情况</w:t>
      </w:r>
    </w:p>
    <w:p w14:paraId="6A19B556">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1. 加强联合培养</w:t>
      </w:r>
    </w:p>
    <w:p w14:paraId="7D017A46">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根据学科的不同特点，开展结合学科特色的研究生培养模式改革，与外单位签订联合培养协议联合培养研究生。通过优质教育资源共享、学科交叉融合、科研平台建设，提高研究生科研能力、学术水平，提升研究生培养质量。</w:t>
      </w:r>
    </w:p>
    <w:p w14:paraId="1A82F2B0">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2. 培养学术诚信</w:t>
      </w:r>
    </w:p>
    <w:p w14:paraId="2CB54835">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强化研究生导师是研究生培养和科研诚信与学术道德行为的第一责任人。研究生导师要引导学生自觉遵守科研诚信与学术道德，强化学术规范训练，增强知识产权意识，杜绝抄袭剽窃、试验造假、篡改数据、论文买卖、代写论文等。</w:t>
      </w:r>
    </w:p>
    <w:p w14:paraId="2FA2446E">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3. 参与学科竞赛</w:t>
      </w:r>
    </w:p>
    <w:p w14:paraId="2FF788F9">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通过组织研究生参加各级各类学科竞赛，提高学生专业知识综合运用的能力，提升实践教学水平、提高人才培养质量，充分发挥以赛促教促学，构建赛研结合的教学模式。鼓励研究生参与“挑战杯”全国大学生系列科技学术竞赛、中国研究生创新实践系列大赛等各级各类学科竞赛，激发研究生从事科学研究的热情，提升研究生对我校科研成果的贡献率。</w:t>
      </w:r>
      <w:r>
        <w:rPr>
          <w:rStyle w:val="17"/>
          <w:rFonts w:hint="eastAsia" w:ascii="Times New Roman" w:hAnsi="Times New Roman" w:eastAsia="方正仿宋_GBK" w:cs="Times New Roman"/>
          <w:color w:val="auto"/>
          <w:szCs w:val="32"/>
          <w:lang w:val="en-US"/>
        </w:rPr>
        <w:t>2021年</w:t>
      </w:r>
      <w:r>
        <w:rPr>
          <w:rStyle w:val="17"/>
          <w:rFonts w:hint="default" w:ascii="Times New Roman" w:hAnsi="Times New Roman" w:eastAsia="方正仿宋_GBK" w:cs="Times New Roman"/>
          <w:color w:val="auto"/>
          <w:szCs w:val="32"/>
        </w:rPr>
        <w:t>，共有4支队伍参加</w:t>
      </w:r>
      <w:r>
        <w:rPr>
          <w:rStyle w:val="17"/>
          <w:rFonts w:hint="eastAsia" w:ascii="Times New Roman" w:hAnsi="Times New Roman" w:eastAsia="方正仿宋_GBK" w:cs="Times New Roman"/>
          <w:color w:val="auto"/>
          <w:szCs w:val="32"/>
        </w:rPr>
        <w:t>“</w:t>
      </w:r>
      <w:r>
        <w:rPr>
          <w:rStyle w:val="17"/>
          <w:rFonts w:hint="default" w:ascii="Times New Roman" w:hAnsi="Times New Roman" w:eastAsia="方正仿宋_GBK" w:cs="Times New Roman"/>
          <w:color w:val="auto"/>
          <w:szCs w:val="32"/>
        </w:rPr>
        <w:t>华为杯</w:t>
      </w:r>
      <w:r>
        <w:rPr>
          <w:rStyle w:val="17"/>
          <w:rFonts w:hint="eastAsia" w:ascii="Times New Roman" w:hAnsi="Times New Roman" w:eastAsia="方正仿宋_GBK" w:cs="Times New Roman"/>
          <w:color w:val="auto"/>
          <w:szCs w:val="32"/>
        </w:rPr>
        <w:t>”</w:t>
      </w:r>
      <w:r>
        <w:rPr>
          <w:rStyle w:val="17"/>
          <w:rFonts w:hint="default" w:ascii="Times New Roman" w:hAnsi="Times New Roman" w:eastAsia="方正仿宋_GBK" w:cs="Times New Roman"/>
          <w:color w:val="auto"/>
          <w:szCs w:val="32"/>
        </w:rPr>
        <w:t>第十八届中国研究生数学建模竞赛，3支队伍参加中国研究生乡村振兴科技强农+创新大赛</w:t>
      </w:r>
      <w:r>
        <w:rPr>
          <w:rStyle w:val="17"/>
          <w:rFonts w:hint="eastAsia" w:ascii="方正仿宋_GBK" w:hAnsi="方正仿宋_GBK" w:eastAsia="方正仿宋_GBK" w:cs="方正仿宋_GBK"/>
          <w:color w:val="auto"/>
          <w:szCs w:val="32"/>
        </w:rPr>
        <w:t>“苏研杯”</w:t>
      </w:r>
      <w:r>
        <w:rPr>
          <w:rStyle w:val="17"/>
          <w:rFonts w:hint="default" w:ascii="Times New Roman" w:hAnsi="Times New Roman" w:eastAsia="方正仿宋_GBK" w:cs="Times New Roman"/>
          <w:color w:val="auto"/>
          <w:szCs w:val="32"/>
        </w:rPr>
        <w:t>第三届科技作品竞赛。</w:t>
      </w:r>
    </w:p>
    <w:p w14:paraId="0B19F530">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eastAsia" w:ascii="Times New Roman" w:hAnsi="Times New Roman" w:eastAsia="方正仿宋_GBK" w:cs="Times New Roman"/>
          <w:color w:val="auto"/>
          <w:szCs w:val="32"/>
          <w:lang w:val="en-US"/>
        </w:rPr>
        <w:t>4</w:t>
      </w:r>
      <w:r>
        <w:rPr>
          <w:rStyle w:val="17"/>
          <w:rFonts w:hint="default" w:ascii="Times New Roman" w:hAnsi="Times New Roman" w:eastAsia="方正仿宋_GBK" w:cs="Times New Roman"/>
          <w:color w:val="auto"/>
          <w:szCs w:val="32"/>
        </w:rPr>
        <w:t>. 加强国际交流</w:t>
      </w:r>
    </w:p>
    <w:p w14:paraId="32F2FE50">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加强国际交流，增强与周边国家、地区的研究生教育合作，营造研究生教育国际化氛围。2019年遴选10名研究生（每人资助5万元）赴海外开展不低于90天的访学活动，提升研究生的国际交流、沟通与合作能力，2020、2021年陆续派出。</w:t>
      </w:r>
    </w:p>
    <w:p w14:paraId="292E6385">
      <w:pPr>
        <w:pStyle w:val="2"/>
        <w:spacing w:before="156" w:beforeLines="50" w:after="156" w:afterLines="50" w:line="560" w:lineRule="exact"/>
        <w:ind w:firstLine="643"/>
        <w:rPr>
          <w:rStyle w:val="17"/>
          <w:rFonts w:hint="default" w:ascii="Times New Roman" w:hAnsi="Times New Roman" w:eastAsia="方正仿宋_GBK" w:cs="Times New Roman"/>
          <w:b/>
          <w:bCs/>
          <w:color w:val="auto"/>
          <w:szCs w:val="32"/>
        </w:rPr>
      </w:pPr>
      <w:r>
        <w:rPr>
          <w:rStyle w:val="17"/>
          <w:rFonts w:hint="default" w:ascii="Times New Roman" w:hAnsi="Times New Roman" w:eastAsia="方正仿宋_GBK" w:cs="Times New Roman"/>
          <w:b/>
          <w:bCs/>
          <w:color w:val="auto"/>
          <w:szCs w:val="32"/>
        </w:rPr>
        <w:t>（四）研究生奖助情况</w:t>
      </w:r>
    </w:p>
    <w:p w14:paraId="7411A8B7">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对遭受暴雨洪涝灾害的河南、山西籍研究生进行及时救助。 2021年7月-8月，河南省郑州、焦作、新乡、洛阳、许昌、平顶山等地的部分地区出现大暴雨和特大暴雨，研究生工作部7月21日向遭受洪涝灾害的家庭经济困难研究生开放了救助通道，共发放补助金6.15万元。国庆期间，山西省遭遇了连续多日的强降雨侵袭，研究生工作部10月12日启动山西省受灾研究生临时困难补助申报工作，共发放补助金2.3万元。</w:t>
      </w:r>
    </w:p>
    <w:p w14:paraId="2F44A852">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完成新生入学报到和入学资格审核；毕业生文明离校；处理研究生违规违纪、办理学籍异动。完成优秀毕业生评审、省“三好”“优干”和先进班集体评审、研究生国奖、省奖、校优评审，共发放奖励经费160余万元。完成年度研究生助学金申领资格审查工作和2021级新生国家助学金、校级助学金评审工作，完成云南省少数民族高层次人才资助项目评审工作，共发放资助经费1500余万元。组织中国林学会“第十届梁希优秀学子奖”评选活动，2名学生获奖。组织研究生学业奖学金评审。发放研究生“三助一辅”和勤工俭学劳务费20余万元，并定期对“三助一辅”进行监督管理。配合省教育厅做好研究生财政专项资金预算和资金使用核查工作；配合财务处做好研究生奖助学金预算和绩效考核工作；配合纪检委开展学生资助政策落实情况专项监督检查工作。</w:t>
      </w:r>
    </w:p>
    <w:p w14:paraId="48B6730A">
      <w:pPr>
        <w:pStyle w:val="2"/>
        <w:snapToGrid w:val="0"/>
        <w:spacing w:before="156" w:beforeLines="50" w:after="156" w:afterLines="50" w:line="560" w:lineRule="exact"/>
        <w:rPr>
          <w:rStyle w:val="17"/>
          <w:rFonts w:hint="default" w:ascii="Times New Roman" w:hAnsi="Times New Roman" w:eastAsia="方正楷体_GB2312" w:cs="Times New Roman"/>
          <w:color w:val="auto"/>
          <w:szCs w:val="32"/>
        </w:rPr>
      </w:pPr>
      <w:r>
        <w:rPr>
          <w:rStyle w:val="17"/>
          <w:rFonts w:hint="default" w:ascii="Times New Roman" w:hAnsi="Times New Roman" w:eastAsia="方正楷体_GB2312" w:cs="Times New Roman"/>
          <w:color w:val="auto"/>
          <w:szCs w:val="32"/>
        </w:rPr>
        <w:t>四、研究生教育改革情况</w:t>
      </w:r>
    </w:p>
    <w:p w14:paraId="06F04ACE">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制订《西南林业大学2021年博士研究生招生管理办法》《硕士研究生招生工作实施细则》《硕士研究生招生调剂工作办法》《硕士研究生招生复试录取办法》《西南林业大学关于云南省少数民族高层次人才资助项目实施细则》，修订《西南林业大学关于研究生攻读学位期间学术成果的规定（试行）》等文件。</w:t>
      </w:r>
    </w:p>
    <w:p w14:paraId="5E3AAA72">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按照《云南省教育厅关于做好全国硕士研究生招生考试考点建设工作的通知》精神，完成标准化考场建设工作，承担2022年全国硕士研究生招生考试考点任务。在疫情防控常态化下，组织硕士研究生招生网络远程复试，有效保障了研究生招生录取的正常开展；组织开展研究生招生网络直播宣传，提高生源数量和质量。</w:t>
      </w:r>
    </w:p>
    <w:p w14:paraId="2A88D048">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完成学籍清退和学业预警工作，</w:t>
      </w:r>
      <w:r>
        <w:rPr>
          <w:rStyle w:val="17"/>
          <w:rFonts w:hint="eastAsia" w:ascii="Times New Roman" w:hAnsi="Times New Roman" w:eastAsia="方正仿宋_GBK" w:cs="Times New Roman"/>
          <w:color w:val="auto"/>
          <w:szCs w:val="32"/>
          <w:lang w:val="en-US"/>
        </w:rPr>
        <w:t>对</w:t>
      </w:r>
      <w:r>
        <w:rPr>
          <w:rStyle w:val="17"/>
          <w:rFonts w:hint="default" w:ascii="Times New Roman" w:hAnsi="Times New Roman" w:eastAsia="方正仿宋_GBK" w:cs="Times New Roman"/>
          <w:color w:val="auto"/>
          <w:szCs w:val="32"/>
        </w:rPr>
        <w:t>达到最长学习年限的18名研究生（其中博士生6人）发放清退通知书，对2022年6月将达到最长学习年限的64名（其中博士生12人）研究生发放学业预警通知书。</w:t>
      </w:r>
    </w:p>
    <w:p w14:paraId="0E97CF81">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完成2021年度研究生质量工程项目的申报评审和推荐工作，获批云南省研究生优质课程建设项目6项，云南省研究生导师团队建设项目9项，云南省专业学位研究生教学案例库建设项目12项。完成研究生管理系统的招标采购，并上线运行，努力推进提高管理信息化进程。</w:t>
      </w:r>
    </w:p>
    <w:p w14:paraId="17EB070A">
      <w:pPr>
        <w:pStyle w:val="2"/>
        <w:snapToGrid w:val="0"/>
        <w:spacing w:before="156" w:beforeLines="50" w:after="156" w:afterLines="50" w:line="560" w:lineRule="exact"/>
        <w:rPr>
          <w:rStyle w:val="17"/>
          <w:rFonts w:hint="default" w:ascii="Times New Roman" w:hAnsi="Times New Roman" w:eastAsia="方正楷体_GB2312" w:cs="Times New Roman"/>
          <w:color w:val="auto"/>
          <w:szCs w:val="32"/>
        </w:rPr>
      </w:pPr>
      <w:r>
        <w:rPr>
          <w:rStyle w:val="17"/>
          <w:rFonts w:hint="default" w:ascii="Times New Roman" w:hAnsi="Times New Roman" w:eastAsia="方正楷体_GB2312" w:cs="Times New Roman"/>
          <w:color w:val="auto"/>
          <w:szCs w:val="32"/>
        </w:rPr>
        <w:t>五、教育质量评估与分析</w:t>
      </w:r>
    </w:p>
    <w:p w14:paraId="6500460D">
      <w:pPr>
        <w:pStyle w:val="2"/>
        <w:spacing w:before="156" w:beforeLines="50" w:after="156" w:afterLines="50" w:line="560" w:lineRule="exact"/>
        <w:ind w:firstLine="643"/>
        <w:rPr>
          <w:rStyle w:val="17"/>
          <w:rFonts w:hint="default" w:ascii="Times New Roman" w:hAnsi="Times New Roman" w:eastAsia="方正仿宋_GBK" w:cs="Times New Roman"/>
          <w:b/>
          <w:bCs/>
          <w:color w:val="auto"/>
          <w:szCs w:val="32"/>
        </w:rPr>
      </w:pPr>
      <w:r>
        <w:rPr>
          <w:rStyle w:val="17"/>
          <w:rFonts w:hint="default" w:ascii="Times New Roman" w:hAnsi="Times New Roman" w:eastAsia="方正仿宋_GBK" w:cs="Times New Roman"/>
          <w:b/>
          <w:bCs/>
          <w:color w:val="auto"/>
          <w:szCs w:val="32"/>
        </w:rPr>
        <w:t>（一）学科自我评估进展及问题分析</w:t>
      </w:r>
    </w:p>
    <w:p w14:paraId="29BB95E0">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2021年，学校成立了评估工作领导小组，印发了《西南林业大学学位授权点合格评估工作方案》，明确了2020-2025年合格评估的范围、内容、方式、进度安排等，制定了学位授权点评估指标体系，正式启动新一轮学位授权点合格评估工作。学校按要求提交了本轮周期性合格评估的13个参评学位授权点名单，其中学术学位授权点9个（一级学科博士点3个，一级学科硕士点6个），专业学位授权点4个，并要求各相关部门和学位点认真撰写2020、2021年研究生教育发展质量年度报告和学位授权点建设年度报告，加强研究生教育和学位授权点内涵建设。存在的主要问题有：学校学科建设整体水平有待持续提升，学科交叉融合不够，服务区域经济社会发展显示度不高。</w:t>
      </w:r>
    </w:p>
    <w:p w14:paraId="39ADEEBF">
      <w:pPr>
        <w:pStyle w:val="2"/>
        <w:spacing w:before="156" w:beforeLines="50" w:after="156" w:afterLines="50" w:line="560" w:lineRule="exact"/>
        <w:ind w:firstLine="643"/>
        <w:rPr>
          <w:rStyle w:val="17"/>
          <w:rFonts w:hint="default" w:ascii="Times New Roman" w:hAnsi="Times New Roman" w:eastAsia="方正仿宋_GBK" w:cs="Times New Roman"/>
          <w:b/>
          <w:bCs/>
          <w:color w:val="auto"/>
          <w:szCs w:val="32"/>
        </w:rPr>
      </w:pPr>
      <w:r>
        <w:rPr>
          <w:rStyle w:val="17"/>
          <w:rFonts w:hint="default" w:ascii="Times New Roman" w:hAnsi="Times New Roman" w:eastAsia="方正仿宋_GBK" w:cs="Times New Roman"/>
          <w:b/>
          <w:bCs/>
          <w:color w:val="auto"/>
          <w:szCs w:val="32"/>
        </w:rPr>
        <w:t>（二）学位论文抽检情况及问题分析</w:t>
      </w:r>
    </w:p>
    <w:p w14:paraId="595559B6">
      <w:pPr>
        <w:pStyle w:val="2"/>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17"/>
          <w:rFonts w:hint="default" w:ascii="Times New Roman" w:hAnsi="Times New Roman" w:eastAsia="方正仿宋_GBK" w:cs="Times New Roman"/>
          <w:szCs w:val="32"/>
        </w:rPr>
      </w:pPr>
      <w:r>
        <w:rPr>
          <w:rStyle w:val="17"/>
          <w:rFonts w:hint="default" w:ascii="Times New Roman" w:hAnsi="Times New Roman" w:eastAsia="方正仿宋_GBK" w:cs="Times New Roman"/>
          <w:color w:val="auto"/>
          <w:szCs w:val="32"/>
        </w:rPr>
        <w:t>2021年云南省教育厅学位办组织对2020届硕士研究生毕业论文进行了抽检，我校共抽检38份，其中2份不合格，另有3份有1名专家评定为不合格。其中：学术学位硕士研究生，抽检17份，0份不合格；专业学位硕士研究生，抽检21份，2份不合格（另有3份有1名专家评定为不合格）。</w:t>
      </w:r>
    </w:p>
    <w:p w14:paraId="7CEA9C25">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情况分析：不合格论文及有1名专家评定为不合格的论文，有3人为在职专硕，2人为非全专硕，无学硕；在职专硕和非全专硕与导师沟通少，2020年因疫情原因，到校见面沟通更少，对论文工作有一定影响；学校于2019年启动了在职专硕的清理工作，2012年及以前招收的在职专硕授位的最后期限为2020年12月31日，2012年以后（不含2012年）招收的在职专硕授位最后期限为2021年12月31日，过期不再受理。因此，部分学院可能在论文标准上有所放松。</w:t>
      </w:r>
    </w:p>
    <w:p w14:paraId="6061273E">
      <w:pPr>
        <w:pStyle w:val="2"/>
        <w:snapToGrid w:val="0"/>
        <w:spacing w:before="156" w:beforeLines="50" w:after="156" w:afterLines="50" w:line="560" w:lineRule="exact"/>
        <w:rPr>
          <w:rStyle w:val="17"/>
          <w:rFonts w:hint="default" w:ascii="Times New Roman" w:hAnsi="Times New Roman" w:eastAsia="方正楷体_GB2312" w:cs="Times New Roman"/>
          <w:color w:val="auto"/>
          <w:szCs w:val="32"/>
        </w:rPr>
      </w:pPr>
      <w:r>
        <w:rPr>
          <w:rStyle w:val="17"/>
          <w:rFonts w:hint="default" w:ascii="Times New Roman" w:hAnsi="Times New Roman" w:eastAsia="方正楷体_GB2312" w:cs="Times New Roman"/>
          <w:color w:val="auto"/>
          <w:szCs w:val="32"/>
        </w:rPr>
        <w:t>六、</w:t>
      </w:r>
      <w:r>
        <w:rPr>
          <w:rStyle w:val="17"/>
          <w:rFonts w:hint="eastAsia" w:ascii="Times New Roman" w:hAnsi="Times New Roman" w:eastAsia="方正楷体_GB2312" w:cs="Times New Roman"/>
          <w:color w:val="auto"/>
          <w:szCs w:val="32"/>
          <w:lang w:val="en-US"/>
        </w:rPr>
        <w:t>问题及</w:t>
      </w:r>
      <w:r>
        <w:rPr>
          <w:rStyle w:val="17"/>
          <w:rFonts w:hint="default" w:ascii="Times New Roman" w:hAnsi="Times New Roman" w:eastAsia="方正楷体_GB2312" w:cs="Times New Roman"/>
          <w:color w:val="auto"/>
          <w:szCs w:val="32"/>
        </w:rPr>
        <w:t>改进措施</w:t>
      </w:r>
    </w:p>
    <w:p w14:paraId="02992D49">
      <w:pPr>
        <w:pStyle w:val="2"/>
        <w:spacing w:before="156" w:beforeLines="50" w:after="156" w:afterLines="50" w:line="560" w:lineRule="exact"/>
        <w:ind w:firstLine="643"/>
        <w:rPr>
          <w:rStyle w:val="17"/>
          <w:rFonts w:hint="default" w:ascii="Times New Roman" w:hAnsi="Times New Roman" w:eastAsia="方正仿宋_GBK" w:cs="Times New Roman"/>
          <w:b/>
          <w:bCs/>
          <w:color w:val="auto"/>
          <w:szCs w:val="32"/>
        </w:rPr>
      </w:pPr>
      <w:r>
        <w:rPr>
          <w:rStyle w:val="17"/>
          <w:rFonts w:hint="eastAsia" w:ascii="Times New Roman" w:hAnsi="Times New Roman" w:eastAsia="方正仿宋_GBK" w:cs="Times New Roman"/>
          <w:b/>
          <w:bCs/>
          <w:color w:val="auto"/>
          <w:szCs w:val="32"/>
        </w:rPr>
        <w:t>（一）</w:t>
      </w:r>
      <w:r>
        <w:rPr>
          <w:rStyle w:val="17"/>
          <w:rFonts w:hint="default" w:ascii="Times New Roman" w:hAnsi="Times New Roman" w:eastAsia="方正仿宋_GBK" w:cs="Times New Roman"/>
          <w:b/>
          <w:bCs/>
          <w:color w:val="auto"/>
          <w:szCs w:val="32"/>
        </w:rPr>
        <w:t>学院研究生管理队伍不稳定</w:t>
      </w:r>
    </w:p>
    <w:p w14:paraId="12BC87A9">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各学院研究生学工队伍和研究生秘书队伍不稳定，工作交接不规范，使研究生管理工作效率不高，不能适应研究生管理工作重心在学院的管理模式。拟通过学校实施“三定”工作契机对学院研究生秘书岗定岗定编定责。</w:t>
      </w:r>
    </w:p>
    <w:p w14:paraId="0AD923F3">
      <w:pPr>
        <w:pStyle w:val="2"/>
        <w:spacing w:before="156" w:beforeLines="50" w:after="156" w:afterLines="50" w:line="560" w:lineRule="exact"/>
        <w:ind w:firstLine="643"/>
        <w:rPr>
          <w:rStyle w:val="17"/>
          <w:rFonts w:hint="default" w:ascii="Times New Roman" w:hAnsi="Times New Roman" w:eastAsia="方正仿宋_GBK" w:cs="Times New Roman"/>
          <w:b/>
          <w:bCs/>
          <w:color w:val="auto"/>
          <w:szCs w:val="32"/>
        </w:rPr>
      </w:pPr>
      <w:r>
        <w:rPr>
          <w:rStyle w:val="17"/>
          <w:rFonts w:hint="eastAsia" w:ascii="Times New Roman" w:hAnsi="Times New Roman" w:eastAsia="方正仿宋_GBK" w:cs="Times New Roman"/>
          <w:b/>
          <w:bCs/>
          <w:color w:val="auto"/>
          <w:szCs w:val="32"/>
        </w:rPr>
        <w:t>（</w:t>
      </w:r>
      <w:r>
        <w:rPr>
          <w:rStyle w:val="17"/>
          <w:rFonts w:hint="eastAsia" w:ascii="Times New Roman" w:hAnsi="Times New Roman" w:eastAsia="方正仿宋_GBK" w:cs="Times New Roman"/>
          <w:b/>
          <w:bCs/>
          <w:color w:val="auto"/>
          <w:szCs w:val="32"/>
          <w:lang w:val="en-US"/>
        </w:rPr>
        <w:t>二</w:t>
      </w:r>
      <w:r>
        <w:rPr>
          <w:rStyle w:val="17"/>
          <w:rFonts w:hint="eastAsia" w:ascii="Times New Roman" w:hAnsi="Times New Roman" w:eastAsia="方正仿宋_GBK" w:cs="Times New Roman"/>
          <w:b/>
          <w:bCs/>
          <w:color w:val="auto"/>
          <w:szCs w:val="32"/>
        </w:rPr>
        <w:t>）</w:t>
      </w:r>
      <w:r>
        <w:rPr>
          <w:rStyle w:val="17"/>
          <w:rFonts w:hint="default" w:ascii="Times New Roman" w:hAnsi="Times New Roman" w:eastAsia="方正仿宋_GBK" w:cs="Times New Roman"/>
          <w:b/>
          <w:bCs/>
          <w:color w:val="auto"/>
          <w:szCs w:val="32"/>
        </w:rPr>
        <w:t>研究生招生考试工作人员严重不足</w:t>
      </w:r>
    </w:p>
    <w:p w14:paraId="451D65E3">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研究生招生办公室仅有一名科长和一名编外人员。2021年云南省教育厅将我校设置为硕士研究生招生考试考点，招生、考试工作面临巨大压力！研究生招生考试是国家级考试，考题属于国家秘密，要求工作人员是正式在编人员，我校该项工作配备人员严重不足，急需增补工作人员。拟通过向人事处、组织部申请设置相应岗位来解决该问题。</w:t>
      </w:r>
    </w:p>
    <w:p w14:paraId="7D9DAAD8">
      <w:pPr>
        <w:pStyle w:val="2"/>
        <w:spacing w:before="156" w:beforeLines="50" w:after="156" w:afterLines="50" w:line="560" w:lineRule="exact"/>
        <w:ind w:firstLine="643"/>
        <w:rPr>
          <w:rStyle w:val="17"/>
          <w:rFonts w:hint="default" w:ascii="Times New Roman" w:hAnsi="Times New Roman" w:eastAsia="方正仿宋_GBK" w:cs="Times New Roman"/>
          <w:b/>
          <w:bCs/>
          <w:color w:val="auto"/>
          <w:szCs w:val="32"/>
        </w:rPr>
      </w:pPr>
      <w:r>
        <w:rPr>
          <w:rStyle w:val="17"/>
          <w:rFonts w:hint="eastAsia" w:ascii="Times New Roman" w:hAnsi="Times New Roman" w:eastAsia="方正仿宋_GBK" w:cs="Times New Roman"/>
          <w:b/>
          <w:bCs/>
          <w:color w:val="auto"/>
          <w:szCs w:val="32"/>
        </w:rPr>
        <w:t>（</w:t>
      </w:r>
      <w:r>
        <w:rPr>
          <w:rStyle w:val="17"/>
          <w:rFonts w:hint="eastAsia" w:ascii="Times New Roman" w:hAnsi="Times New Roman" w:eastAsia="方正仿宋_GBK" w:cs="Times New Roman"/>
          <w:b/>
          <w:bCs/>
          <w:color w:val="auto"/>
          <w:szCs w:val="32"/>
          <w:lang w:val="en-US"/>
        </w:rPr>
        <w:t>三</w:t>
      </w:r>
      <w:r>
        <w:rPr>
          <w:rStyle w:val="17"/>
          <w:rFonts w:hint="eastAsia" w:ascii="Times New Roman" w:hAnsi="Times New Roman" w:eastAsia="方正仿宋_GBK" w:cs="Times New Roman"/>
          <w:b/>
          <w:bCs/>
          <w:color w:val="auto"/>
          <w:szCs w:val="32"/>
        </w:rPr>
        <w:t>）</w:t>
      </w:r>
      <w:r>
        <w:rPr>
          <w:rStyle w:val="17"/>
          <w:rFonts w:hint="default" w:ascii="Times New Roman" w:hAnsi="Times New Roman" w:eastAsia="方正仿宋_GBK" w:cs="Times New Roman"/>
          <w:b/>
          <w:bCs/>
          <w:color w:val="auto"/>
          <w:szCs w:val="32"/>
        </w:rPr>
        <w:t>导师队伍建设有待加强</w:t>
      </w:r>
    </w:p>
    <w:p w14:paraId="40DEFDB7">
      <w:pPr>
        <w:pStyle w:val="2"/>
        <w:snapToGrid w:val="0"/>
        <w:spacing w:after="156" w:afterLines="50" w:line="500" w:lineRule="exact"/>
        <w:rPr>
          <w:rStyle w:val="17"/>
          <w:rFonts w:hint="default" w:ascii="Times New Roman" w:hAnsi="Times New Roman" w:cs="Times New Roman"/>
          <w:color w:val="auto"/>
          <w:szCs w:val="32"/>
        </w:rPr>
      </w:pPr>
      <w:r>
        <w:rPr>
          <w:rStyle w:val="17"/>
          <w:rFonts w:hint="default" w:ascii="Times New Roman" w:hAnsi="Times New Roman" w:eastAsia="方正仿宋_GBK" w:cs="Times New Roman"/>
          <w:color w:val="auto"/>
          <w:szCs w:val="32"/>
        </w:rPr>
        <w:t>近年来，由于研究生招生人数猛增，导师队伍远远不能适应新形势的要求，存在一些问题。主要有：一是导师知识老化。少量导师远离实验室，又不注重知识更新，指导学生也是勉强为之。二是受市场经济的功利性影响。一些导师的主要精力不在教学、科研和指导研究生上，而是放在开发赚钱、校外兼课上。还有一些导师兼职太多，政务缠身，非本职工作活动频繁。他们对学生无暇顾及，甚至将学生当作廉价劳动力，将学生安排到实验场地，自己很少过问，使学生在学习、科研工作中得不到及时的指导，加之地域等原因，使学生一年难见导师一面，成了名副其实的“挂名导师”。三是部分学科专业生多师少，少数导师指导学生数量较多，平均分配到每个学生身上的时间精力有限。下一步，拟在研究生招生指标分配中加大生师比权重，对生师比过高的学院的招生进行限制，逐渐使得各学科生师比趋</w:t>
      </w:r>
      <w:bookmarkStart w:id="0" w:name="_GoBack"/>
      <w:bookmarkEnd w:id="0"/>
      <w:r>
        <w:rPr>
          <w:rStyle w:val="17"/>
          <w:rFonts w:hint="default" w:ascii="Times New Roman" w:hAnsi="Times New Roman" w:eastAsia="方正仿宋_GBK" w:cs="Times New Roman"/>
          <w:color w:val="auto"/>
          <w:szCs w:val="32"/>
        </w:rPr>
        <w:t>于合理。修订《研究生导师管理办法》，进一步规范导师遴选、招生资格、年度考核和处理等事项。</w:t>
      </w:r>
    </w:p>
    <w:p w14:paraId="7EAF4A22">
      <w:pPr>
        <w:pStyle w:val="2"/>
        <w:snapToGrid w:val="0"/>
        <w:spacing w:after="156" w:afterLines="50" w:line="500" w:lineRule="exact"/>
        <w:rPr>
          <w:rStyle w:val="17"/>
          <w:rFonts w:hint="default" w:ascii="Times New Roman" w:hAnsi="Times New Roman" w:cs="Times New Roman"/>
          <w:color w:val="auto"/>
          <w:szCs w:val="32"/>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86E20D-541D-4BEC-8D35-C0404CCE4B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Arial Unicode MS"/>
    <w:panose1 w:val="02000000000000000000"/>
    <w:charset w:val="86"/>
    <w:family w:val="auto"/>
    <w:pitch w:val="default"/>
    <w:sig w:usb0="00000000" w:usb1="00000000" w:usb2="00000012" w:usb3="00000000" w:csb0="00040001" w:csb1="00000000"/>
    <w:embedRegular r:id="rId2" w:fontKey="{37EA77F0-7E10-4322-B6D7-B0268A52B81B}"/>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3" w:fontKey="{AC92D565-42A3-420D-B12A-4B3CC1CA04A6}"/>
  </w:font>
  <w:font w:name="方正楷体_GB2312">
    <w:panose1 w:val="02000000000000000000"/>
    <w:charset w:val="86"/>
    <w:family w:val="auto"/>
    <w:pitch w:val="default"/>
    <w:sig w:usb0="A00002BF" w:usb1="184F6CFA" w:usb2="00000012" w:usb3="00000000" w:csb0="00040001" w:csb1="00000000"/>
    <w:embedRegular r:id="rId4" w:fontKey="{C0D7B1B0-97F4-40CC-91B8-1EA082A38AA8}"/>
  </w:font>
  <w:font w:name="方正仿宋_GBK">
    <w:panose1 w:val="03000509000000000000"/>
    <w:charset w:val="86"/>
    <w:family w:val="auto"/>
    <w:pitch w:val="default"/>
    <w:sig w:usb0="00000001" w:usb1="080E0000" w:usb2="00000000" w:usb3="00000000" w:csb0="00040000" w:csb1="00000000"/>
    <w:embedRegular r:id="rId5" w:fontKey="{639DF20A-DC9D-4BDD-831C-E7CB6711BA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69313">
    <w:pPr>
      <w:pStyle w:val="5"/>
      <w:widowControl/>
      <w:textAlignment w:val="baseline"/>
      <w:rPr>
        <w:rStyle w:val="17"/>
        <w:rFonts w:ascii="Times New Roman" w:hAnsi="Times New Roman" w:eastAsia="宋体"/>
        <w:sz w:val="18"/>
        <w:szCs w:val="1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8DC8F">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F88DC8F">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Style w:val="17"/>
        <w:rFonts w:ascii="Times New Roman" w:hAnsi="Times New Roman" w:eastAsia="宋体"/>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2043582">
                          <w:pPr>
                            <w:pStyle w:val="5"/>
                            <w:widowControl/>
                            <w:jc w:val="both"/>
                            <w:textAlignment w:val="baseline"/>
                            <w:rPr>
                              <w:rStyle w:val="17"/>
                              <w:rFonts w:ascii="Times New Roman" w:hAnsi="Times New Roman" w:eastAsia="宋体"/>
                              <w:sz w:val="20"/>
                              <w:szCs w:val="18"/>
                            </w:rPr>
                          </w:pPr>
                        </w:p>
                        <w:p w14:paraId="5B68C3CC">
                          <w:pPr>
                            <w:textAlignment w:val="baseline"/>
                            <w:rPr>
                              <w:rStyle w:val="17"/>
                              <w:rFonts w:ascii="Times New Roman" w:hAnsi="Times New Roman" w:eastAsia="宋体"/>
                              <w:sz w:val="21"/>
                            </w:rPr>
                          </w:pPr>
                        </w:p>
                      </w:txbxContent>
                    </wps:txbx>
                    <wps:bodyPr lIns="0" tIns="0" rIns="0" bIns="0" upright="1"/>
                  </wps:wsp>
                </a:graphicData>
              </a:graphic>
            </wp:anchor>
          </w:drawing>
        </mc:Choice>
        <mc:Fallback>
          <w:pict>
            <v:shape id="文本框 1" o:spid="_x0000_s1026" o:spt="202" type="#_x0000_t202" style="position:absolute;left:0pt;margin-top:0.65pt;height:144pt;width:144pt;mso-position-horizontal:center;mso-position-horizontal-relative:margin;z-index:251659264;mso-width-relative:page;mso-height-relative:page;" filled="f" stroked="f" coordsize="21600,21600" o:gfxdata="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0eqWU1QAAAAYBAAAPAAAAAAAAAAEAIAAAACIAAABkcnMvZG93bnJldi54bWxQSwEC&#10;FAAUAAAACACHTuJAPY5Ihr4BAAB+AwAADgAAAAAAAAABACAAAAAkAQAAZHJzL2Uyb0RvYy54bWxQ&#10;SwUGAAAAAAYABgBZAQAAVAUAAAAA&#10;">
              <v:fill on="f" focussize="0,0"/>
              <v:stroke on="f" weight="1.25pt"/>
              <v:imagedata o:title=""/>
              <o:lock v:ext="edit" aspectratio="f"/>
              <v:textbox inset="0mm,0mm,0mm,0mm">
                <w:txbxContent>
                  <w:p w14:paraId="02043582">
                    <w:pPr>
                      <w:pStyle w:val="5"/>
                      <w:widowControl/>
                      <w:jc w:val="both"/>
                      <w:textAlignment w:val="baseline"/>
                      <w:rPr>
                        <w:rStyle w:val="17"/>
                        <w:rFonts w:ascii="Times New Roman" w:hAnsi="Times New Roman" w:eastAsia="宋体"/>
                        <w:sz w:val="20"/>
                        <w:szCs w:val="18"/>
                      </w:rPr>
                    </w:pPr>
                  </w:p>
                  <w:p w14:paraId="5B68C3CC">
                    <w:pPr>
                      <w:textAlignment w:val="baseline"/>
                      <w:rPr>
                        <w:rStyle w:val="17"/>
                        <w:rFonts w:ascii="Times New Roman" w:hAnsi="Times New Roman" w:eastAsia="宋体"/>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59161">
    <w:pPr>
      <w:pStyle w:val="5"/>
      <w:widowControl/>
      <w:jc w:val="center"/>
      <w:textAlignment w:val="baseline"/>
      <w:rPr>
        <w:rStyle w:val="17"/>
        <w:rFonts w:ascii="Times New Roman" w:hAnsi="Times New Roman"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DCC6E">
                          <w:pPr>
                            <w:pStyle w:val="5"/>
                            <w:rPr>
                              <w:rFonts w:eastAsia="宋体"/>
                              <w:sz w:val="22"/>
                              <w:szCs w:val="22"/>
                            </w:rPr>
                          </w:pP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1</w:t>
                          </w:r>
                          <w:r>
                            <w:rPr>
                              <w:rFonts w:hint="eastAsia"/>
                              <w:sz w:val="22"/>
                              <w:szCs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ECDCC6E">
                    <w:pPr>
                      <w:pStyle w:val="5"/>
                      <w:rPr>
                        <w:rFonts w:eastAsia="宋体"/>
                        <w:sz w:val="22"/>
                        <w:szCs w:val="22"/>
                      </w:rPr>
                    </w:pP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1</w:t>
                    </w:r>
                    <w:r>
                      <w:rPr>
                        <w:rFonts w:hint="eastAsia"/>
                        <w:sz w:val="22"/>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YWNlNTZkYjBiZTEzZWNlMTgxOTU4OGRhMTRhYzIifQ=="/>
  </w:docVars>
  <w:rsids>
    <w:rsidRoot w:val="00D94DEB"/>
    <w:rsid w:val="0000504C"/>
    <w:rsid w:val="00035C2E"/>
    <w:rsid w:val="00072396"/>
    <w:rsid w:val="00082791"/>
    <w:rsid w:val="001E172F"/>
    <w:rsid w:val="002033A5"/>
    <w:rsid w:val="002053EA"/>
    <w:rsid w:val="00217A41"/>
    <w:rsid w:val="00267270"/>
    <w:rsid w:val="002A2A8F"/>
    <w:rsid w:val="0030352E"/>
    <w:rsid w:val="00336678"/>
    <w:rsid w:val="00356045"/>
    <w:rsid w:val="004456D6"/>
    <w:rsid w:val="00451F04"/>
    <w:rsid w:val="005E79DA"/>
    <w:rsid w:val="00702CF9"/>
    <w:rsid w:val="007852C0"/>
    <w:rsid w:val="009E655A"/>
    <w:rsid w:val="00A11B46"/>
    <w:rsid w:val="00A25CBC"/>
    <w:rsid w:val="00A349CF"/>
    <w:rsid w:val="00A431E0"/>
    <w:rsid w:val="00A54693"/>
    <w:rsid w:val="00C41755"/>
    <w:rsid w:val="00C41CF8"/>
    <w:rsid w:val="00C638D0"/>
    <w:rsid w:val="00D01CD5"/>
    <w:rsid w:val="00D81683"/>
    <w:rsid w:val="00D94DEB"/>
    <w:rsid w:val="00DA77BC"/>
    <w:rsid w:val="00E53D40"/>
    <w:rsid w:val="00E82949"/>
    <w:rsid w:val="00EC2387"/>
    <w:rsid w:val="00EE6E3F"/>
    <w:rsid w:val="00F11DED"/>
    <w:rsid w:val="00F51953"/>
    <w:rsid w:val="00FE02A0"/>
    <w:rsid w:val="01CF7782"/>
    <w:rsid w:val="04114C85"/>
    <w:rsid w:val="05235D34"/>
    <w:rsid w:val="056A1C9B"/>
    <w:rsid w:val="06A20A39"/>
    <w:rsid w:val="08D12F00"/>
    <w:rsid w:val="0B3049D6"/>
    <w:rsid w:val="0B692FE1"/>
    <w:rsid w:val="0C480258"/>
    <w:rsid w:val="0CD00F0A"/>
    <w:rsid w:val="0EBD0E70"/>
    <w:rsid w:val="0F712BB6"/>
    <w:rsid w:val="102354BF"/>
    <w:rsid w:val="121A010C"/>
    <w:rsid w:val="134753CA"/>
    <w:rsid w:val="137E7A43"/>
    <w:rsid w:val="15C01464"/>
    <w:rsid w:val="16F83C72"/>
    <w:rsid w:val="19F142E2"/>
    <w:rsid w:val="1A7B1DFD"/>
    <w:rsid w:val="1A8B0292"/>
    <w:rsid w:val="1CC25C22"/>
    <w:rsid w:val="1E501745"/>
    <w:rsid w:val="27A929FE"/>
    <w:rsid w:val="2C21126A"/>
    <w:rsid w:val="2C752F1C"/>
    <w:rsid w:val="323C7542"/>
    <w:rsid w:val="33D83D93"/>
    <w:rsid w:val="367E0853"/>
    <w:rsid w:val="38147E3B"/>
    <w:rsid w:val="389D0C80"/>
    <w:rsid w:val="3B857ED9"/>
    <w:rsid w:val="3B9B0C14"/>
    <w:rsid w:val="3D9B21BA"/>
    <w:rsid w:val="3EE83FF7"/>
    <w:rsid w:val="3F40671A"/>
    <w:rsid w:val="3FEE08F8"/>
    <w:rsid w:val="43673D14"/>
    <w:rsid w:val="43E04937"/>
    <w:rsid w:val="44173ECB"/>
    <w:rsid w:val="44421984"/>
    <w:rsid w:val="44A44BC4"/>
    <w:rsid w:val="44AD2E0D"/>
    <w:rsid w:val="46C035F8"/>
    <w:rsid w:val="4851653D"/>
    <w:rsid w:val="496E4757"/>
    <w:rsid w:val="4D7D7DB9"/>
    <w:rsid w:val="51BE544C"/>
    <w:rsid w:val="526E1E56"/>
    <w:rsid w:val="529E7E5B"/>
    <w:rsid w:val="5338480E"/>
    <w:rsid w:val="547B1A83"/>
    <w:rsid w:val="562166FF"/>
    <w:rsid w:val="56E90240"/>
    <w:rsid w:val="57A23368"/>
    <w:rsid w:val="57EF7F46"/>
    <w:rsid w:val="58815E06"/>
    <w:rsid w:val="59ED3476"/>
    <w:rsid w:val="5EBE43DB"/>
    <w:rsid w:val="5EC47139"/>
    <w:rsid w:val="626B6718"/>
    <w:rsid w:val="659F2553"/>
    <w:rsid w:val="66EF4E57"/>
    <w:rsid w:val="67A4342A"/>
    <w:rsid w:val="6A215794"/>
    <w:rsid w:val="6AAB5A90"/>
    <w:rsid w:val="6BAE0CB8"/>
    <w:rsid w:val="6C160F2C"/>
    <w:rsid w:val="6E995A95"/>
    <w:rsid w:val="7229607F"/>
    <w:rsid w:val="73D25D6E"/>
    <w:rsid w:val="740B40E6"/>
    <w:rsid w:val="75187F78"/>
    <w:rsid w:val="754E378A"/>
    <w:rsid w:val="75CE61D8"/>
    <w:rsid w:val="75D7090C"/>
    <w:rsid w:val="77260526"/>
    <w:rsid w:val="77B72634"/>
    <w:rsid w:val="77F40DE4"/>
    <w:rsid w:val="7AF721A5"/>
    <w:rsid w:val="7BBC67DB"/>
    <w:rsid w:val="7C4F3BAD"/>
    <w:rsid w:val="7DD37E5E"/>
    <w:rsid w:val="7E637C8C"/>
    <w:rsid w:val="7E6862E7"/>
    <w:rsid w:val="7ED5F1F9"/>
    <w:rsid w:val="7FB31700"/>
    <w:rsid w:val="7FD03A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简体" w:asciiTheme="minorHAnsi" w:hAnsiTheme="minorHAnsi" w:cstheme="minorBidi"/>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0"/>
    <w:rPr>
      <w:rFonts w:ascii="Calibri" w:hAnsi="Calibri"/>
      <w:sz w:val="2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qFormat/>
    <w:uiPriority w:val="0"/>
    <w:rPr>
      <w:color w:val="800080"/>
      <w:u w:val="none"/>
    </w:rPr>
  </w:style>
  <w:style w:type="character" w:styleId="14">
    <w:name w:val="Hyperlink"/>
    <w:basedOn w:val="10"/>
    <w:qFormat/>
    <w:uiPriority w:val="0"/>
    <w:rPr>
      <w:color w:val="0000FF"/>
      <w:u w:val="none"/>
    </w:rPr>
  </w:style>
  <w:style w:type="character" w:customStyle="1" w:styleId="15">
    <w:name w:val="hover21"/>
    <w:basedOn w:val="10"/>
    <w:qFormat/>
    <w:uiPriority w:val="0"/>
    <w:rPr>
      <w:color w:val="557EE7"/>
    </w:rPr>
  </w:style>
  <w:style w:type="paragraph" w:customStyle="1" w:styleId="16">
    <w:name w:val="彩色列表 - 强调文字颜色 11"/>
    <w:basedOn w:val="1"/>
    <w:qFormat/>
    <w:uiPriority w:val="0"/>
    <w:pPr>
      <w:ind w:firstLine="420" w:firstLineChars="200"/>
    </w:pPr>
    <w:rPr>
      <w:rFonts w:ascii="Cambria" w:hAnsi="Cambria"/>
      <w:szCs w:val="22"/>
    </w:rPr>
  </w:style>
  <w:style w:type="character" w:customStyle="1" w:styleId="17">
    <w:name w:val="NormalCharacter"/>
    <w:semiHidden/>
    <w:qFormat/>
    <w:uiPriority w:val="0"/>
    <w:rPr>
      <w:rFonts w:eastAsia="方正仿宋简体" w:asciiTheme="minorHAnsi" w:hAnsiTheme="minorHAnsi" w:cstheme="minorBidi"/>
      <w:kern w:val="2"/>
      <w:sz w:val="32"/>
      <w:szCs w:val="24"/>
      <w:lang w:val="en-US" w:eastAsia="zh-CN" w:bidi="ar-SA"/>
    </w:rPr>
  </w:style>
  <w:style w:type="paragraph" w:customStyle="1" w:styleId="18">
    <w:name w:val="Heading3"/>
    <w:basedOn w:val="1"/>
    <w:next w:val="1"/>
    <w:qFormat/>
    <w:uiPriority w:val="0"/>
    <w:pPr>
      <w:spacing w:line="600" w:lineRule="exact"/>
      <w:ind w:firstLine="640" w:firstLineChars="200"/>
      <w:textAlignment w:val="baseline"/>
    </w:pPr>
    <w:rPr>
      <w:rFonts w:ascii="黑体" w:hAnsi="黑体" w:eastAsia="黑体"/>
      <w:color w:val="000000"/>
      <w:szCs w:val="32"/>
    </w:rPr>
  </w:style>
  <w:style w:type="character" w:customStyle="1" w:styleId="19">
    <w:name w:val="15"/>
    <w:basedOn w:val="10"/>
    <w:qFormat/>
    <w:uiPriority w:val="0"/>
    <w:rPr>
      <w:rFonts w:hint="default" w:ascii="Calibri" w:hAnsi="Calibri" w:eastAsia="方正仿宋简体" w:cs="Times New Roman"/>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7390</Words>
  <Characters>7835</Characters>
  <Lines>61</Lines>
  <Paragraphs>17</Paragraphs>
  <TotalTime>5</TotalTime>
  <ScaleCrop>false</ScaleCrop>
  <LinksUpToDate>false</LinksUpToDate>
  <CharactersWithSpaces>7888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2021-01-15T13:44:00Z</dcterms:created>
  <dc:creator>XWB</dc:creator>
  <cp:lastModifiedBy>miduch</cp:lastModifiedBy>
  <cp:lastPrinted>2020-11-20T11:24:00Z</cp:lastPrinted>
  <dcterms:modified xsi:type="dcterms:W3CDTF">2025-03-21T03:43:35Z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7BF9FAFA215341F8B7394BFA0A2A7619</vt:lpwstr>
  </property>
  <property fmtid="{D5CDD505-2E9C-101B-9397-08002B2CF9AE}" pid="4" name="KSOTemplateDocerSaveRecord">
    <vt:lpwstr>eyJoZGlkIjoiNmNiN2Y4MmExNTZlMGM3ZDk3ZmMwOGVlZDRjYTA4YmYiLCJ1c2VySWQiOiI0MjAwNjI3In0=</vt:lpwstr>
  </property>
</Properties>
</file>