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B2295">
      <w:pPr>
        <w:spacing w:after="156"/>
        <w:jc w:val="center"/>
        <w:textAlignment w:val="baseline"/>
        <w:rPr>
          <w:rStyle w:val="20"/>
          <w:rFonts w:ascii="方正小标宋简体" w:hAnsi="宋体" w:eastAsia="方正小标宋简体"/>
          <w:b/>
          <w:sz w:val="44"/>
          <w:szCs w:val="44"/>
        </w:rPr>
      </w:pPr>
    </w:p>
    <w:p w14:paraId="79650B73">
      <w:pPr>
        <w:spacing w:after="156"/>
        <w:jc w:val="center"/>
        <w:textAlignment w:val="baseline"/>
        <w:rPr>
          <w:rStyle w:val="20"/>
          <w:rFonts w:ascii="方正小标宋简体" w:hAnsi="宋体" w:eastAsia="方正小标宋简体" w:cs="Times New Roman"/>
          <w:bCs/>
          <w:sz w:val="44"/>
          <w:szCs w:val="44"/>
        </w:rPr>
      </w:pPr>
    </w:p>
    <w:p w14:paraId="02F7BF79">
      <w:pPr>
        <w:spacing w:after="156"/>
        <w:jc w:val="center"/>
        <w:textAlignment w:val="baseline"/>
        <w:rPr>
          <w:rStyle w:val="20"/>
          <w:rFonts w:ascii="方正小标宋简体" w:hAnsi="宋体" w:eastAsia="方正小标宋简体" w:cs="Times New Roman"/>
          <w:bCs/>
          <w:sz w:val="44"/>
          <w:szCs w:val="44"/>
        </w:rPr>
      </w:pPr>
    </w:p>
    <w:p w14:paraId="79D4DFEA">
      <w:pPr>
        <w:spacing w:after="156" w:line="560" w:lineRule="exact"/>
        <w:jc w:val="center"/>
        <w:textAlignment w:val="baseline"/>
        <w:rPr>
          <w:rStyle w:val="20"/>
          <w:rFonts w:hint="default" w:ascii="Times New Roman" w:hAnsi="Times New Roman" w:eastAsia="方正小标宋简体" w:cs="Times New Roman"/>
          <w:bCs/>
          <w:sz w:val="44"/>
          <w:szCs w:val="44"/>
        </w:rPr>
      </w:pPr>
      <w:r>
        <w:rPr>
          <w:rStyle w:val="20"/>
          <w:rFonts w:hint="eastAsia" w:ascii="Times New Roman" w:hAnsi="Times New Roman" w:eastAsia="方正小标宋简体" w:cs="Times New Roman"/>
          <w:bCs/>
          <w:sz w:val="44"/>
          <w:szCs w:val="44"/>
        </w:rPr>
        <w:t>研究生教育发展质量年度报告</w:t>
      </w:r>
    </w:p>
    <w:p w14:paraId="0A7A3F3A">
      <w:pPr>
        <w:spacing w:after="156" w:line="560" w:lineRule="exact"/>
        <w:jc w:val="center"/>
        <w:textAlignment w:val="baseline"/>
        <w:rPr>
          <w:rStyle w:val="20"/>
          <w:rFonts w:hint="default" w:ascii="Times New Roman" w:hAnsi="Times New Roman" w:eastAsia="方正小标宋简体" w:cs="Times New Roman"/>
          <w:bCs/>
          <w:sz w:val="44"/>
          <w:szCs w:val="44"/>
        </w:rPr>
      </w:pPr>
      <w:r>
        <w:rPr>
          <w:rStyle w:val="20"/>
          <w:rFonts w:hint="default" w:ascii="Times New Roman" w:hAnsi="Times New Roman" w:eastAsia="方正小标宋简体" w:cs="Times New Roman"/>
          <w:bCs/>
          <w:sz w:val="44"/>
          <w:szCs w:val="44"/>
        </w:rPr>
        <w:t>（</w:t>
      </w:r>
      <w:r>
        <w:rPr>
          <w:rStyle w:val="20"/>
          <w:rFonts w:hint="eastAsia" w:ascii="Times New Roman" w:hAnsi="Times New Roman" w:eastAsia="方正小标宋简体" w:cs="Times New Roman"/>
          <w:bCs/>
          <w:sz w:val="44"/>
          <w:szCs w:val="44"/>
          <w:lang w:val="en-US"/>
        </w:rPr>
        <w:t>2024年</w:t>
      </w:r>
      <w:r>
        <w:rPr>
          <w:rStyle w:val="20"/>
          <w:rFonts w:hint="default" w:ascii="Times New Roman" w:hAnsi="Times New Roman" w:eastAsia="方正小标宋简体" w:cs="Times New Roman"/>
          <w:bCs/>
          <w:sz w:val="44"/>
          <w:szCs w:val="44"/>
        </w:rPr>
        <w:t>）</w:t>
      </w:r>
    </w:p>
    <w:p w14:paraId="2D077032">
      <w:pPr>
        <w:spacing w:after="156"/>
        <w:jc w:val="center"/>
        <w:textAlignment w:val="baseline"/>
        <w:rPr>
          <w:rStyle w:val="20"/>
          <w:rFonts w:ascii="方正小标宋简体" w:hAnsi="宋体" w:eastAsia="方正小标宋简体" w:cs="Times New Roman"/>
          <w:bCs/>
          <w:sz w:val="44"/>
          <w:szCs w:val="44"/>
        </w:rPr>
      </w:pPr>
    </w:p>
    <w:p w14:paraId="7BD8739E">
      <w:pPr>
        <w:snapToGrid w:val="0"/>
        <w:jc w:val="center"/>
        <w:textAlignment w:val="baseline"/>
        <w:rPr>
          <w:rStyle w:val="20"/>
          <w:rFonts w:ascii="Times New Roman" w:hAnsi="Times New Roman" w:eastAsia="宋体"/>
          <w:b/>
          <w:sz w:val="48"/>
          <w:szCs w:val="20"/>
        </w:rPr>
      </w:pPr>
    </w:p>
    <w:p w14:paraId="17096C7B">
      <w:pPr>
        <w:snapToGrid w:val="0"/>
        <w:jc w:val="center"/>
        <w:textAlignment w:val="baseline"/>
        <w:rPr>
          <w:rStyle w:val="20"/>
          <w:rFonts w:ascii="Times New Roman" w:hAnsi="Times New Roman" w:eastAsia="宋体"/>
          <w:b/>
          <w:sz w:val="48"/>
          <w:szCs w:val="20"/>
        </w:rPr>
      </w:pPr>
    </w:p>
    <w:p w14:paraId="4A49B9B3">
      <w:pPr>
        <w:snapToGrid w:val="0"/>
        <w:jc w:val="center"/>
        <w:textAlignment w:val="baseline"/>
        <w:rPr>
          <w:rStyle w:val="20"/>
          <w:rFonts w:ascii="Times New Roman" w:hAnsi="Times New Roman" w:eastAsia="宋体"/>
          <w:b/>
          <w:szCs w:val="32"/>
        </w:rPr>
      </w:pPr>
    </w:p>
    <w:tbl>
      <w:tblPr>
        <w:tblStyle w:val="10"/>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4FA96D9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2639178B">
            <w:pPr>
              <w:snapToGrid w:val="0"/>
              <w:jc w:val="center"/>
              <w:textAlignment w:val="baseline"/>
              <w:rPr>
                <w:rStyle w:val="20"/>
                <w:rFonts w:ascii="Times New Roman" w:hAnsi="Times New Roman" w:eastAsia="宋体"/>
                <w:b/>
                <w:spacing w:val="-10"/>
                <w:szCs w:val="32"/>
              </w:rPr>
            </w:pPr>
            <w:r>
              <w:rPr>
                <w:rStyle w:val="20"/>
                <w:rFonts w:ascii="Times New Roman" w:hAnsi="Times New Roman" w:eastAsia="宋体"/>
                <w:b/>
                <w:spacing w:val="-10"/>
                <w:szCs w:val="32"/>
              </w:rPr>
              <w:t>高校</w:t>
            </w:r>
          </w:p>
          <w:p w14:paraId="1401767F">
            <w:pPr>
              <w:snapToGrid w:val="0"/>
              <w:jc w:val="center"/>
              <w:textAlignment w:val="baseline"/>
              <w:rPr>
                <w:rStyle w:val="20"/>
                <w:rFonts w:ascii="Times New Roman" w:hAnsi="Times New Roman" w:eastAsia="宋体"/>
                <w:b/>
                <w:spacing w:val="-10"/>
                <w:szCs w:val="32"/>
              </w:rPr>
            </w:pPr>
            <w:r>
              <w:rPr>
                <w:rStyle w:val="20"/>
                <w:rFonts w:ascii="Times New Roman" w:hAnsi="Times New Roman" w:eastAsia="宋体"/>
                <w:b/>
                <w:spacing w:val="-10"/>
                <w:szCs w:val="32"/>
              </w:rPr>
              <w:t>（公章）</w:t>
            </w:r>
          </w:p>
        </w:tc>
        <w:tc>
          <w:tcPr>
            <w:tcW w:w="3977" w:type="dxa"/>
            <w:tcBorders>
              <w:top w:val="nil"/>
              <w:left w:val="single" w:color="000000" w:sz="4" w:space="0"/>
              <w:bottom w:val="single" w:color="000000" w:sz="4" w:space="0"/>
              <w:right w:val="nil"/>
            </w:tcBorders>
            <w:vAlign w:val="center"/>
          </w:tcPr>
          <w:p w14:paraId="2AEB65A6">
            <w:pPr>
              <w:snapToGrid w:val="0"/>
              <w:textAlignment w:val="baseline"/>
              <w:rPr>
                <w:rStyle w:val="20"/>
                <w:rFonts w:ascii="Times New Roman" w:hAnsi="Times New Roman" w:eastAsia="宋体"/>
                <w:b/>
                <w:spacing w:val="-10"/>
                <w:szCs w:val="32"/>
              </w:rPr>
            </w:pPr>
            <w:r>
              <w:rPr>
                <w:rStyle w:val="20"/>
                <w:rFonts w:ascii="Times New Roman" w:hAnsi="Times New Roman" w:eastAsia="宋体"/>
                <w:b/>
                <w:spacing w:val="-10"/>
                <w:szCs w:val="32"/>
              </w:rPr>
              <w:t>名称：</w:t>
            </w:r>
            <w:r>
              <w:rPr>
                <w:rStyle w:val="20"/>
                <w:rFonts w:hint="default" w:ascii="Times New Roman" w:hAnsi="Times New Roman" w:eastAsia="宋体" w:cs="Times New Roman"/>
                <w:b/>
                <w:spacing w:val="-10"/>
                <w:szCs w:val="32"/>
              </w:rPr>
              <w:t>西南林业大学</w:t>
            </w:r>
          </w:p>
        </w:tc>
      </w:tr>
      <w:tr w14:paraId="5A576ED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7F12DC87">
            <w:pPr>
              <w:snapToGrid w:val="0"/>
              <w:jc w:val="center"/>
              <w:textAlignment w:val="baseline"/>
              <w:rPr>
                <w:rStyle w:val="20"/>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4534D56B">
            <w:pPr>
              <w:snapToGrid w:val="0"/>
              <w:textAlignment w:val="baseline"/>
              <w:rPr>
                <w:rStyle w:val="20"/>
                <w:rFonts w:hint="default" w:ascii="Times New Roman" w:hAnsi="Times New Roman" w:eastAsia="宋体"/>
                <w:b/>
                <w:spacing w:val="-10"/>
                <w:szCs w:val="32"/>
                <w:lang w:val="en-US"/>
              </w:rPr>
            </w:pPr>
            <w:r>
              <w:rPr>
                <w:rStyle w:val="20"/>
                <w:rFonts w:ascii="Times New Roman" w:hAnsi="Times New Roman" w:eastAsia="宋体"/>
                <w:b/>
                <w:spacing w:val="-10"/>
                <w:szCs w:val="32"/>
              </w:rPr>
              <w:t>代码：</w:t>
            </w:r>
            <w:r>
              <w:rPr>
                <w:rStyle w:val="20"/>
                <w:rFonts w:hint="eastAsia" w:ascii="Times New Roman" w:hAnsi="Times New Roman" w:eastAsia="宋体"/>
                <w:b/>
                <w:spacing w:val="-10"/>
                <w:szCs w:val="32"/>
                <w:lang w:val="en-US"/>
              </w:rPr>
              <w:t>10677</w:t>
            </w:r>
          </w:p>
        </w:tc>
      </w:tr>
    </w:tbl>
    <w:p w14:paraId="1333B6D1">
      <w:pPr>
        <w:snapToGrid w:val="0"/>
        <w:jc w:val="center"/>
        <w:textAlignment w:val="baseline"/>
        <w:rPr>
          <w:rStyle w:val="20"/>
          <w:rFonts w:ascii="Times New Roman" w:hAnsi="Times New Roman" w:eastAsia="宋体"/>
          <w:b/>
          <w:sz w:val="48"/>
          <w:szCs w:val="20"/>
        </w:rPr>
      </w:pPr>
    </w:p>
    <w:p w14:paraId="776ECB59">
      <w:pPr>
        <w:jc w:val="center"/>
        <w:textAlignment w:val="baseline"/>
        <w:rPr>
          <w:rStyle w:val="20"/>
          <w:rFonts w:ascii="Times New Roman" w:hAnsi="Times New Roman" w:eastAsia="楷体_GB2312"/>
          <w:b/>
          <w:sz w:val="30"/>
          <w:szCs w:val="30"/>
        </w:rPr>
      </w:pPr>
    </w:p>
    <w:p w14:paraId="04F665B5">
      <w:pPr>
        <w:pStyle w:val="21"/>
        <w:widowControl/>
        <w:spacing w:line="240" w:lineRule="auto"/>
        <w:rPr>
          <w:rStyle w:val="20"/>
          <w:rFonts w:ascii="黑体" w:hAnsi="黑体" w:eastAsia="黑体"/>
          <w:color w:val="auto"/>
          <w:szCs w:val="32"/>
        </w:rPr>
      </w:pPr>
    </w:p>
    <w:p w14:paraId="46DBE996">
      <w:pPr>
        <w:jc w:val="center"/>
        <w:textAlignment w:val="baseline"/>
        <w:rPr>
          <w:rStyle w:val="20"/>
          <w:rFonts w:ascii="Times New Roman" w:hAnsi="Times New Roman" w:eastAsia="楷体_GB2312"/>
          <w:b/>
          <w:sz w:val="30"/>
          <w:szCs w:val="30"/>
        </w:rPr>
      </w:pPr>
    </w:p>
    <w:p w14:paraId="2F29A324">
      <w:pPr>
        <w:jc w:val="center"/>
        <w:textAlignment w:val="baseline"/>
        <w:rPr>
          <w:rStyle w:val="20"/>
          <w:rFonts w:ascii="黑体" w:hAnsi="黑体" w:eastAsia="黑体"/>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0"/>
          <w:rFonts w:ascii="Times New Roman" w:hAnsi="Times New Roman" w:eastAsia="楷体_GB2312"/>
          <w:b/>
          <w:szCs w:val="32"/>
        </w:rPr>
        <w:t>202</w:t>
      </w:r>
      <w:r>
        <w:rPr>
          <w:rStyle w:val="20"/>
          <w:rFonts w:hint="eastAsia" w:ascii="Times New Roman" w:hAnsi="Times New Roman" w:eastAsia="楷体_GB2312"/>
          <w:b/>
          <w:szCs w:val="32"/>
          <w:lang w:val="en-US"/>
        </w:rPr>
        <w:t>5</w:t>
      </w:r>
      <w:r>
        <w:rPr>
          <w:rStyle w:val="20"/>
          <w:rFonts w:ascii="Times New Roman" w:hAnsi="Times New Roman" w:eastAsia="楷体_GB2312"/>
          <w:b/>
          <w:szCs w:val="32"/>
        </w:rPr>
        <w:t>年</w:t>
      </w:r>
      <w:r>
        <w:rPr>
          <w:rStyle w:val="20"/>
          <w:rFonts w:hint="eastAsia" w:ascii="Times New Roman" w:hAnsi="Times New Roman" w:eastAsia="楷体_GB2312"/>
          <w:b/>
          <w:szCs w:val="32"/>
          <w:lang w:val="en-US"/>
        </w:rPr>
        <w:t>3</w:t>
      </w:r>
      <w:r>
        <w:rPr>
          <w:rStyle w:val="20"/>
          <w:rFonts w:ascii="Times New Roman" w:hAnsi="Times New Roman" w:eastAsia="楷体_GB2312"/>
          <w:b/>
          <w:szCs w:val="32"/>
        </w:rPr>
        <w:t>月</w:t>
      </w:r>
      <w:r>
        <w:rPr>
          <w:rStyle w:val="20"/>
          <w:rFonts w:hint="eastAsia" w:ascii="Times New Roman" w:hAnsi="Times New Roman" w:eastAsia="楷体_GB2312"/>
          <w:b/>
          <w:szCs w:val="32"/>
          <w:lang w:val="en-US"/>
        </w:rPr>
        <w:t>7</w:t>
      </w:r>
      <w:r>
        <w:rPr>
          <w:rStyle w:val="20"/>
          <w:rFonts w:ascii="Times New Roman" w:hAnsi="Times New Roman" w:eastAsia="楷体_GB2312"/>
          <w:b/>
          <w:szCs w:val="32"/>
        </w:rPr>
        <w:t>日</w:t>
      </w:r>
    </w:p>
    <w:p w14:paraId="1588366A">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eastAsia"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一、总体概况</w:t>
      </w:r>
    </w:p>
    <w:p w14:paraId="69D448F9">
      <w:pPr>
        <w:pStyle w:val="3"/>
        <w:keepNext w:val="0"/>
        <w:keepLines w:val="0"/>
        <w:pageBreakBefore w:val="0"/>
        <w:kinsoku/>
        <w:wordWrap/>
        <w:overflowPunct/>
        <w:topLinePunct w:val="0"/>
        <w:autoSpaceDE/>
        <w:autoSpaceDN/>
        <w:bidi w:val="0"/>
        <w:adjustRightIn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（一）学位授权点基本情况</w:t>
      </w:r>
    </w:p>
    <w:p w14:paraId="59C40FAD">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截</w:t>
      </w:r>
      <w:r>
        <w:rPr>
          <w:rStyle w:val="20"/>
          <w:rFonts w:hint="default" w:ascii="Times New Roman" w:hAnsi="Times New Roman" w:eastAsia="方正仿宋_GBK" w:cs="Times New Roman"/>
          <w:color w:val="auto"/>
          <w:szCs w:val="32"/>
          <w:lang w:val="en-US"/>
        </w:rPr>
        <w:t>至</w:t>
      </w:r>
      <w:r>
        <w:rPr>
          <w:rStyle w:val="20"/>
          <w:rFonts w:hint="default" w:ascii="Times New Roman" w:hAnsi="Times New Roman" w:eastAsia="方正仿宋_GBK" w:cs="Times New Roman"/>
          <w:color w:val="auto"/>
          <w:szCs w:val="32"/>
        </w:rPr>
        <w:t>202</w:t>
      </w:r>
      <w:r>
        <w:rPr>
          <w:rStyle w:val="20"/>
          <w:rFonts w:hint="eastAsia" w:ascii="Times New Roman" w:hAnsi="Times New Roman" w:eastAsia="方正仿宋_GBK" w:cs="Times New Roman"/>
          <w:color w:val="auto"/>
          <w:szCs w:val="32"/>
          <w:lang w:val="en-US"/>
        </w:rPr>
        <w:t>4</w:t>
      </w:r>
      <w:r>
        <w:rPr>
          <w:rStyle w:val="20"/>
          <w:rFonts w:hint="default" w:ascii="Times New Roman" w:hAnsi="Times New Roman" w:eastAsia="方正仿宋_GBK" w:cs="Times New Roman"/>
          <w:color w:val="auto"/>
          <w:szCs w:val="32"/>
        </w:rPr>
        <w:t>年12月，学校拥有4个一级学科博士</w:t>
      </w:r>
      <w:r>
        <w:rPr>
          <w:rStyle w:val="20"/>
          <w:rFonts w:hint="eastAsia" w:ascii="Times New Roman" w:hAnsi="Times New Roman" w:eastAsia="方正仿宋_GBK" w:cs="Times New Roman"/>
          <w:color w:val="auto"/>
          <w:szCs w:val="32"/>
          <w:lang w:val="en-US"/>
        </w:rPr>
        <w:t>学位授权</w:t>
      </w:r>
      <w:r>
        <w:rPr>
          <w:rStyle w:val="20"/>
          <w:rFonts w:hint="default" w:ascii="Times New Roman" w:hAnsi="Times New Roman" w:eastAsia="方正仿宋_GBK" w:cs="Times New Roman"/>
          <w:color w:val="auto"/>
          <w:szCs w:val="32"/>
        </w:rPr>
        <w:t>点、1个博士专业学位</w:t>
      </w:r>
      <w:r>
        <w:rPr>
          <w:rStyle w:val="20"/>
          <w:rFonts w:hint="eastAsia" w:ascii="Times New Roman" w:hAnsi="Times New Roman" w:eastAsia="方正仿宋_GBK" w:cs="Times New Roman"/>
          <w:color w:val="auto"/>
          <w:szCs w:val="32"/>
          <w:lang w:val="en-US"/>
        </w:rPr>
        <w:t>授权</w:t>
      </w:r>
      <w:r>
        <w:rPr>
          <w:rStyle w:val="20"/>
          <w:rFonts w:hint="default" w:ascii="Times New Roman" w:hAnsi="Times New Roman" w:eastAsia="方正仿宋_GBK" w:cs="Times New Roman"/>
          <w:color w:val="auto"/>
          <w:szCs w:val="32"/>
        </w:rPr>
        <w:t>点</w:t>
      </w:r>
      <w:r>
        <w:rPr>
          <w:rStyle w:val="20"/>
          <w:rFonts w:hint="eastAsia" w:ascii="Times New Roman" w:hAnsi="Times New Roman" w:eastAsia="方正仿宋_GBK" w:cs="Times New Roman"/>
          <w:color w:val="auto"/>
          <w:szCs w:val="32"/>
        </w:rPr>
        <w:t>、</w:t>
      </w:r>
      <w:r>
        <w:rPr>
          <w:rStyle w:val="20"/>
          <w:rFonts w:hint="default" w:ascii="Times New Roman" w:hAnsi="Times New Roman" w:eastAsia="方正仿宋_GBK" w:cs="Times New Roman"/>
          <w:color w:val="auto"/>
          <w:szCs w:val="32"/>
        </w:rPr>
        <w:t>17个一级学科硕士</w:t>
      </w:r>
      <w:r>
        <w:rPr>
          <w:rStyle w:val="20"/>
          <w:rFonts w:hint="eastAsia" w:ascii="Times New Roman" w:hAnsi="Times New Roman" w:eastAsia="方正仿宋_GBK" w:cs="Times New Roman"/>
          <w:color w:val="auto"/>
          <w:szCs w:val="32"/>
          <w:lang w:val="en-US"/>
        </w:rPr>
        <w:t>学位授权</w:t>
      </w:r>
      <w:r>
        <w:rPr>
          <w:rStyle w:val="20"/>
          <w:rFonts w:hint="default" w:ascii="Times New Roman" w:hAnsi="Times New Roman" w:eastAsia="方正仿宋_GBK" w:cs="Times New Roman"/>
          <w:color w:val="auto"/>
          <w:szCs w:val="32"/>
        </w:rPr>
        <w:t>点、17个专业硕士学位</w:t>
      </w:r>
      <w:r>
        <w:rPr>
          <w:rStyle w:val="20"/>
          <w:rFonts w:hint="eastAsia" w:ascii="Times New Roman" w:hAnsi="Times New Roman" w:eastAsia="方正仿宋_GBK" w:cs="Times New Roman"/>
          <w:color w:val="auto"/>
          <w:szCs w:val="32"/>
          <w:lang w:val="en-US"/>
        </w:rPr>
        <w:t>类别</w:t>
      </w:r>
      <w:r>
        <w:rPr>
          <w:rStyle w:val="20"/>
          <w:rFonts w:hint="default" w:ascii="Times New Roman" w:hAnsi="Times New Roman" w:eastAsia="方正仿宋_GBK" w:cs="Times New Roman"/>
          <w:color w:val="auto"/>
          <w:szCs w:val="32"/>
        </w:rPr>
        <w:t>，涵盖法学、理学、工学、农学、管理学、艺术学等6个学科门类。</w:t>
      </w:r>
    </w:p>
    <w:p w14:paraId="79035457">
      <w:pPr>
        <w:pStyle w:val="3"/>
        <w:keepNext w:val="0"/>
        <w:keepLines w:val="0"/>
        <w:pageBreakBefore w:val="0"/>
        <w:kinsoku/>
        <w:wordWrap/>
        <w:overflowPunct/>
        <w:topLinePunct w:val="0"/>
        <w:autoSpaceDE/>
        <w:autoSpaceDN/>
        <w:bidi w:val="0"/>
        <w:adjustRightInd/>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（1）博士学位授权点分布情况</w:t>
      </w:r>
    </w:p>
    <w:p w14:paraId="64FD2AA6">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我校博士学位授权点分布情况如表1-1所示。</w:t>
      </w:r>
    </w:p>
    <w:p w14:paraId="5690AB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表1-1 202</w:t>
      </w:r>
      <w:r>
        <w:rPr>
          <w:rFonts w:hint="eastAsia" w:ascii="Times New Roman" w:hAnsi="Times New Roman" w:eastAsia="方正仿宋_GBK" w:cs="Times New Roman"/>
          <w:sz w:val="28"/>
          <w:szCs w:val="28"/>
          <w:shd w:val="clear" w:color="auto" w:fill="FFFFFF"/>
          <w:lang w:val="en-US" w:eastAsia="zh-CN"/>
        </w:rPr>
        <w:t>4</w:t>
      </w:r>
      <w:r>
        <w:rPr>
          <w:rFonts w:hint="default" w:ascii="Times New Roman" w:hAnsi="Times New Roman" w:eastAsia="方正仿宋_GBK" w:cs="Times New Roman"/>
          <w:sz w:val="28"/>
          <w:szCs w:val="28"/>
          <w:shd w:val="clear" w:color="auto" w:fill="FFFFFF"/>
        </w:rPr>
        <w:t>年西南林业大学博士学位授权点分布情况表</w:t>
      </w:r>
    </w:p>
    <w:tbl>
      <w:tblPr>
        <w:tblStyle w:val="10"/>
        <w:tblW w:w="8207" w:type="dxa"/>
        <w:jc w:val="center"/>
        <w:tblLayout w:type="fixed"/>
        <w:tblCellMar>
          <w:top w:w="0" w:type="dxa"/>
          <w:left w:w="108" w:type="dxa"/>
          <w:bottom w:w="0" w:type="dxa"/>
          <w:right w:w="108" w:type="dxa"/>
        </w:tblCellMar>
      </w:tblPr>
      <w:tblGrid>
        <w:gridCol w:w="799"/>
        <w:gridCol w:w="2094"/>
        <w:gridCol w:w="2586"/>
        <w:gridCol w:w="1560"/>
        <w:gridCol w:w="1168"/>
      </w:tblGrid>
      <w:tr w14:paraId="44683264">
        <w:tblPrEx>
          <w:tblCellMar>
            <w:top w:w="0" w:type="dxa"/>
            <w:left w:w="108" w:type="dxa"/>
            <w:bottom w:w="0" w:type="dxa"/>
            <w:right w:w="108" w:type="dxa"/>
          </w:tblCellMar>
        </w:tblPrEx>
        <w:trPr>
          <w:trHeight w:val="64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42E">
            <w:pPr>
              <w:keepNext w:val="0"/>
              <w:keepLines w:val="0"/>
              <w:pageBreakBefore w:val="0"/>
              <w:widowControl/>
              <w:kinsoku/>
              <w:wordWrap/>
              <w:overflowPunct/>
              <w:topLinePunct w:val="0"/>
              <w:autoSpaceDE/>
              <w:autoSpaceDN/>
              <w:bidi w:val="0"/>
              <w:adjustRightInd/>
              <w:snapToGrid w:val="0"/>
              <w:jc w:val="center"/>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94" w:type="dxa"/>
            <w:tcBorders>
              <w:top w:val="single" w:color="000000" w:sz="4" w:space="0"/>
              <w:left w:val="nil"/>
              <w:bottom w:val="single" w:color="000000" w:sz="4" w:space="0"/>
              <w:right w:val="single" w:color="000000" w:sz="4" w:space="0"/>
            </w:tcBorders>
            <w:shd w:val="clear" w:color="auto" w:fill="auto"/>
            <w:noWrap/>
            <w:vAlign w:val="center"/>
          </w:tcPr>
          <w:p w14:paraId="12B4CDE7">
            <w:pPr>
              <w:keepNext w:val="0"/>
              <w:keepLines w:val="0"/>
              <w:pageBreakBefore w:val="0"/>
              <w:widowControl/>
              <w:kinsoku/>
              <w:wordWrap/>
              <w:overflowPunct/>
              <w:topLinePunct w:val="0"/>
              <w:autoSpaceDE/>
              <w:autoSpaceDN/>
              <w:bidi w:val="0"/>
              <w:adjustRightInd/>
              <w:snapToGrid w:val="0"/>
              <w:jc w:val="center"/>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一级学科/专业学位类别代码</w:t>
            </w:r>
          </w:p>
        </w:tc>
        <w:tc>
          <w:tcPr>
            <w:tcW w:w="2586" w:type="dxa"/>
            <w:tcBorders>
              <w:top w:val="single" w:color="000000" w:sz="4" w:space="0"/>
              <w:left w:val="nil"/>
              <w:bottom w:val="single" w:color="000000" w:sz="4" w:space="0"/>
              <w:right w:val="single" w:color="000000" w:sz="4" w:space="0"/>
            </w:tcBorders>
            <w:shd w:val="clear" w:color="auto" w:fill="auto"/>
            <w:vAlign w:val="center"/>
          </w:tcPr>
          <w:p w14:paraId="201ED0AD">
            <w:pPr>
              <w:keepNext w:val="0"/>
              <w:keepLines w:val="0"/>
              <w:pageBreakBefore w:val="0"/>
              <w:widowControl/>
              <w:kinsoku/>
              <w:wordWrap/>
              <w:overflowPunct/>
              <w:topLinePunct w:val="0"/>
              <w:autoSpaceDE/>
              <w:autoSpaceDN/>
              <w:bidi w:val="0"/>
              <w:adjustRightInd/>
              <w:snapToGrid w:val="0"/>
              <w:jc w:val="center"/>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一级学科/专业学位类别名称</w:t>
            </w:r>
          </w:p>
        </w:tc>
        <w:tc>
          <w:tcPr>
            <w:tcW w:w="1560" w:type="dxa"/>
            <w:tcBorders>
              <w:top w:val="single" w:color="000000" w:sz="4" w:space="0"/>
              <w:left w:val="nil"/>
              <w:bottom w:val="single" w:color="000000" w:sz="4" w:space="0"/>
              <w:right w:val="single" w:color="000000" w:sz="4" w:space="0"/>
            </w:tcBorders>
            <w:shd w:val="clear" w:color="auto" w:fill="auto"/>
            <w:noWrap/>
            <w:vAlign w:val="center"/>
          </w:tcPr>
          <w:p w14:paraId="59383A5D">
            <w:pPr>
              <w:keepNext w:val="0"/>
              <w:keepLines w:val="0"/>
              <w:pageBreakBefore w:val="0"/>
              <w:widowControl/>
              <w:kinsoku/>
              <w:wordWrap/>
              <w:overflowPunct/>
              <w:topLinePunct w:val="0"/>
              <w:autoSpaceDE/>
              <w:autoSpaceDN/>
              <w:bidi w:val="0"/>
              <w:adjustRightInd/>
              <w:snapToGrid w:val="0"/>
              <w:jc w:val="center"/>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学科门类</w:t>
            </w:r>
          </w:p>
        </w:tc>
        <w:tc>
          <w:tcPr>
            <w:tcW w:w="1168" w:type="dxa"/>
            <w:tcBorders>
              <w:top w:val="single" w:color="000000" w:sz="4" w:space="0"/>
              <w:left w:val="nil"/>
              <w:bottom w:val="single" w:color="000000" w:sz="4" w:space="0"/>
              <w:right w:val="single" w:color="000000" w:sz="4" w:space="0"/>
            </w:tcBorders>
            <w:shd w:val="clear" w:color="auto" w:fill="auto"/>
            <w:noWrap/>
            <w:vAlign w:val="center"/>
          </w:tcPr>
          <w:p w14:paraId="5D23E07E">
            <w:pPr>
              <w:keepNext w:val="0"/>
              <w:keepLines w:val="0"/>
              <w:pageBreakBefore w:val="0"/>
              <w:widowControl/>
              <w:kinsoku/>
              <w:wordWrap/>
              <w:overflowPunct/>
              <w:topLinePunct w:val="0"/>
              <w:autoSpaceDE/>
              <w:autoSpaceDN/>
              <w:bidi w:val="0"/>
              <w:adjustRightInd/>
              <w:snapToGrid w:val="0"/>
              <w:jc w:val="center"/>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类别</w:t>
            </w:r>
          </w:p>
        </w:tc>
      </w:tr>
      <w:tr w14:paraId="10EEC9BD">
        <w:tblPrEx>
          <w:tblCellMar>
            <w:top w:w="0" w:type="dxa"/>
            <w:left w:w="108" w:type="dxa"/>
            <w:bottom w:w="0" w:type="dxa"/>
            <w:right w:w="108" w:type="dxa"/>
          </w:tblCellMar>
        </w:tblPrEx>
        <w:trPr>
          <w:trHeight w:val="359" w:hRule="atLeast"/>
          <w:jc w:val="center"/>
        </w:trPr>
        <w:tc>
          <w:tcPr>
            <w:tcW w:w="799" w:type="dxa"/>
            <w:tcBorders>
              <w:top w:val="nil"/>
              <w:left w:val="single" w:color="000000" w:sz="4" w:space="0"/>
              <w:bottom w:val="single" w:color="000000" w:sz="4" w:space="0"/>
              <w:right w:val="single" w:color="000000" w:sz="4" w:space="0"/>
            </w:tcBorders>
            <w:shd w:val="clear" w:color="auto" w:fill="auto"/>
            <w:vAlign w:val="center"/>
          </w:tcPr>
          <w:p w14:paraId="6C620064">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2094" w:type="dxa"/>
            <w:tcBorders>
              <w:top w:val="nil"/>
              <w:left w:val="nil"/>
              <w:bottom w:val="single" w:color="000000" w:sz="4" w:space="0"/>
              <w:right w:val="single" w:color="000000" w:sz="4" w:space="0"/>
            </w:tcBorders>
            <w:shd w:val="clear" w:color="auto" w:fill="auto"/>
            <w:noWrap/>
            <w:vAlign w:val="center"/>
          </w:tcPr>
          <w:p w14:paraId="06B5E2E9">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0829</w:t>
            </w:r>
          </w:p>
        </w:tc>
        <w:tc>
          <w:tcPr>
            <w:tcW w:w="2586" w:type="dxa"/>
            <w:tcBorders>
              <w:top w:val="nil"/>
              <w:left w:val="nil"/>
              <w:bottom w:val="single" w:color="000000" w:sz="4" w:space="0"/>
              <w:right w:val="single" w:color="000000" w:sz="4" w:space="0"/>
            </w:tcBorders>
            <w:shd w:val="clear" w:color="auto" w:fill="auto"/>
            <w:vAlign w:val="center"/>
          </w:tcPr>
          <w:p w14:paraId="0ACEAB63">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林业工程</w:t>
            </w:r>
          </w:p>
        </w:tc>
        <w:tc>
          <w:tcPr>
            <w:tcW w:w="1560" w:type="dxa"/>
            <w:tcBorders>
              <w:top w:val="nil"/>
              <w:left w:val="nil"/>
              <w:bottom w:val="single" w:color="000000" w:sz="4" w:space="0"/>
              <w:right w:val="single" w:color="000000" w:sz="4" w:space="0"/>
            </w:tcBorders>
            <w:shd w:val="clear" w:color="auto" w:fill="auto"/>
            <w:noWrap/>
            <w:vAlign w:val="center"/>
          </w:tcPr>
          <w:p w14:paraId="3591A4EB">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c>
          <w:tcPr>
            <w:tcW w:w="1168" w:type="dxa"/>
            <w:tcBorders>
              <w:top w:val="nil"/>
              <w:left w:val="nil"/>
              <w:bottom w:val="single" w:color="000000" w:sz="4" w:space="0"/>
              <w:right w:val="single" w:color="000000" w:sz="4" w:space="0"/>
            </w:tcBorders>
            <w:shd w:val="clear" w:color="auto" w:fill="auto"/>
            <w:noWrap/>
            <w:vAlign w:val="center"/>
          </w:tcPr>
          <w:p w14:paraId="2F70AECD">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学术型</w:t>
            </w:r>
          </w:p>
        </w:tc>
      </w:tr>
      <w:tr w14:paraId="49FFDAFE">
        <w:tblPrEx>
          <w:tblCellMar>
            <w:top w:w="0" w:type="dxa"/>
            <w:left w:w="108" w:type="dxa"/>
            <w:bottom w:w="0" w:type="dxa"/>
            <w:right w:w="108" w:type="dxa"/>
          </w:tblCellMar>
        </w:tblPrEx>
        <w:trPr>
          <w:trHeight w:val="420" w:hRule="atLeast"/>
          <w:jc w:val="center"/>
        </w:trPr>
        <w:tc>
          <w:tcPr>
            <w:tcW w:w="799" w:type="dxa"/>
            <w:tcBorders>
              <w:top w:val="nil"/>
              <w:left w:val="single" w:color="000000" w:sz="4" w:space="0"/>
              <w:bottom w:val="single" w:color="000000" w:sz="4" w:space="0"/>
              <w:right w:val="single" w:color="000000" w:sz="4" w:space="0"/>
            </w:tcBorders>
            <w:shd w:val="clear" w:color="auto" w:fill="auto"/>
            <w:vAlign w:val="center"/>
          </w:tcPr>
          <w:p w14:paraId="33BE1447">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2094" w:type="dxa"/>
            <w:tcBorders>
              <w:top w:val="nil"/>
              <w:left w:val="nil"/>
              <w:bottom w:val="single" w:color="000000" w:sz="4" w:space="0"/>
              <w:right w:val="single" w:color="000000" w:sz="4" w:space="0"/>
            </w:tcBorders>
            <w:shd w:val="clear" w:color="auto" w:fill="auto"/>
            <w:noWrap/>
            <w:vAlign w:val="center"/>
          </w:tcPr>
          <w:p w14:paraId="1E1CBF9C">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0862</w:t>
            </w:r>
          </w:p>
        </w:tc>
        <w:tc>
          <w:tcPr>
            <w:tcW w:w="2586" w:type="dxa"/>
            <w:tcBorders>
              <w:top w:val="nil"/>
              <w:left w:val="nil"/>
              <w:bottom w:val="single" w:color="000000" w:sz="4" w:space="0"/>
              <w:right w:val="single" w:color="000000" w:sz="4" w:space="0"/>
            </w:tcBorders>
            <w:shd w:val="clear" w:color="auto" w:fill="auto"/>
            <w:vAlign w:val="center"/>
          </w:tcPr>
          <w:p w14:paraId="4FEF9904">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风景园林</w:t>
            </w:r>
          </w:p>
        </w:tc>
        <w:tc>
          <w:tcPr>
            <w:tcW w:w="1560" w:type="dxa"/>
            <w:tcBorders>
              <w:top w:val="nil"/>
              <w:left w:val="nil"/>
              <w:bottom w:val="single" w:color="000000" w:sz="4" w:space="0"/>
              <w:right w:val="single" w:color="000000" w:sz="4" w:space="0"/>
            </w:tcBorders>
            <w:shd w:val="clear" w:color="auto" w:fill="auto"/>
            <w:noWrap/>
            <w:vAlign w:val="center"/>
          </w:tcPr>
          <w:p w14:paraId="35CE0406">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c>
          <w:tcPr>
            <w:tcW w:w="1168" w:type="dxa"/>
            <w:tcBorders>
              <w:top w:val="nil"/>
              <w:left w:val="nil"/>
              <w:bottom w:val="single" w:color="000000" w:sz="4" w:space="0"/>
              <w:right w:val="single" w:color="000000" w:sz="4" w:space="0"/>
            </w:tcBorders>
            <w:shd w:val="clear" w:color="auto" w:fill="auto"/>
            <w:noWrap/>
            <w:vAlign w:val="center"/>
          </w:tcPr>
          <w:p w14:paraId="3B7D1E4A">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专业型</w:t>
            </w:r>
          </w:p>
        </w:tc>
      </w:tr>
      <w:tr w14:paraId="2C99B999">
        <w:tblPrEx>
          <w:tblCellMar>
            <w:top w:w="0" w:type="dxa"/>
            <w:left w:w="108" w:type="dxa"/>
            <w:bottom w:w="0" w:type="dxa"/>
            <w:right w:w="108" w:type="dxa"/>
          </w:tblCellMar>
        </w:tblPrEx>
        <w:trPr>
          <w:trHeight w:val="413" w:hRule="atLeast"/>
          <w:jc w:val="center"/>
        </w:trPr>
        <w:tc>
          <w:tcPr>
            <w:tcW w:w="799" w:type="dxa"/>
            <w:tcBorders>
              <w:top w:val="nil"/>
              <w:left w:val="single" w:color="000000" w:sz="4" w:space="0"/>
              <w:bottom w:val="single" w:color="auto" w:sz="4" w:space="0"/>
              <w:right w:val="single" w:color="000000" w:sz="4" w:space="0"/>
            </w:tcBorders>
            <w:shd w:val="clear" w:color="auto" w:fill="auto"/>
            <w:vAlign w:val="center"/>
          </w:tcPr>
          <w:p w14:paraId="77812181">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c>
          <w:tcPr>
            <w:tcW w:w="2094" w:type="dxa"/>
            <w:tcBorders>
              <w:top w:val="nil"/>
              <w:left w:val="nil"/>
              <w:bottom w:val="single" w:color="auto" w:sz="4" w:space="0"/>
              <w:right w:val="single" w:color="000000" w:sz="4" w:space="0"/>
            </w:tcBorders>
            <w:shd w:val="clear" w:color="auto" w:fill="auto"/>
            <w:noWrap/>
            <w:vAlign w:val="center"/>
          </w:tcPr>
          <w:p w14:paraId="2FEF4CE6">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0907</w:t>
            </w:r>
          </w:p>
        </w:tc>
        <w:tc>
          <w:tcPr>
            <w:tcW w:w="2586" w:type="dxa"/>
            <w:tcBorders>
              <w:top w:val="nil"/>
              <w:left w:val="nil"/>
              <w:bottom w:val="single" w:color="auto" w:sz="4" w:space="0"/>
              <w:right w:val="single" w:color="000000" w:sz="4" w:space="0"/>
            </w:tcBorders>
            <w:shd w:val="clear" w:color="auto" w:fill="auto"/>
            <w:vAlign w:val="center"/>
          </w:tcPr>
          <w:p w14:paraId="0A65D0ED">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林学</w:t>
            </w:r>
          </w:p>
        </w:tc>
        <w:tc>
          <w:tcPr>
            <w:tcW w:w="1560" w:type="dxa"/>
            <w:tcBorders>
              <w:top w:val="nil"/>
              <w:left w:val="nil"/>
              <w:bottom w:val="single" w:color="auto" w:sz="4" w:space="0"/>
              <w:right w:val="single" w:color="000000" w:sz="4" w:space="0"/>
            </w:tcBorders>
            <w:shd w:val="clear" w:color="auto" w:fill="auto"/>
            <w:noWrap/>
            <w:vAlign w:val="center"/>
          </w:tcPr>
          <w:p w14:paraId="7F0CBE81">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农学</w:t>
            </w:r>
          </w:p>
        </w:tc>
        <w:tc>
          <w:tcPr>
            <w:tcW w:w="1168" w:type="dxa"/>
            <w:tcBorders>
              <w:top w:val="nil"/>
              <w:left w:val="nil"/>
              <w:bottom w:val="single" w:color="auto" w:sz="4" w:space="0"/>
              <w:right w:val="single" w:color="000000" w:sz="4" w:space="0"/>
            </w:tcBorders>
            <w:shd w:val="clear" w:color="auto" w:fill="auto"/>
            <w:noWrap/>
            <w:vAlign w:val="center"/>
          </w:tcPr>
          <w:p w14:paraId="26F553B9">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学术型</w:t>
            </w:r>
          </w:p>
        </w:tc>
      </w:tr>
      <w:tr w14:paraId="43BF727E">
        <w:tblPrEx>
          <w:tblCellMar>
            <w:top w:w="0" w:type="dxa"/>
            <w:left w:w="108" w:type="dxa"/>
            <w:bottom w:w="0" w:type="dxa"/>
            <w:right w:w="108" w:type="dxa"/>
          </w:tblCellMar>
        </w:tblPrEx>
        <w:trPr>
          <w:trHeight w:val="40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071F0CF">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p>
        </w:tc>
        <w:tc>
          <w:tcPr>
            <w:tcW w:w="2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000F4">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1203</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14:paraId="22A15C9F">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农林经济管理</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AFA48">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管理学</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070AD">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学术型</w:t>
            </w:r>
          </w:p>
        </w:tc>
      </w:tr>
      <w:tr w14:paraId="56DA96C8">
        <w:tblPrEx>
          <w:tblCellMar>
            <w:top w:w="0" w:type="dxa"/>
            <w:left w:w="108" w:type="dxa"/>
            <w:bottom w:w="0" w:type="dxa"/>
            <w:right w:w="108" w:type="dxa"/>
          </w:tblCellMar>
        </w:tblPrEx>
        <w:trPr>
          <w:trHeight w:val="40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29816DB">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p>
        </w:tc>
        <w:tc>
          <w:tcPr>
            <w:tcW w:w="2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1832F">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0910</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14:paraId="180281AF">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水土保持与荒漠化防治学</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5E7B9">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农学</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7732F">
            <w:pPr>
              <w:keepNext w:val="0"/>
              <w:keepLines w:val="0"/>
              <w:pageBreakBefore w:val="0"/>
              <w:kinsoku/>
              <w:wordWrap/>
              <w:overflowPunct/>
              <w:topLinePunct w:val="0"/>
              <w:autoSpaceDE/>
              <w:autoSpaceDN/>
              <w:bidi w:val="0"/>
              <w:adjustRightInd/>
              <w:snapToGrid w:val="0"/>
              <w:jc w:val="center"/>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学术型</w:t>
            </w:r>
          </w:p>
        </w:tc>
      </w:tr>
    </w:tbl>
    <w:p w14:paraId="16A742AA">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（2）学术型硕士学位授权点分布情况</w:t>
      </w:r>
    </w:p>
    <w:p w14:paraId="547F5C13">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我校学术型硕士学位授权点分布情况如表1-2所示。</w:t>
      </w:r>
    </w:p>
    <w:p w14:paraId="5B919B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 xml:space="preserve">表1-2 </w:t>
      </w:r>
      <w:r>
        <w:rPr>
          <w:rFonts w:hint="eastAsia" w:ascii="Times New Roman" w:hAnsi="Times New Roman" w:eastAsia="方正仿宋_GBK" w:cs="Times New Roman"/>
          <w:sz w:val="28"/>
          <w:szCs w:val="28"/>
          <w:shd w:val="clear" w:color="auto" w:fill="FFFFFF"/>
          <w:lang w:eastAsia="zh-CN"/>
        </w:rPr>
        <w:t>202</w:t>
      </w:r>
      <w:r>
        <w:rPr>
          <w:rFonts w:hint="eastAsia" w:ascii="Times New Roman" w:hAnsi="Times New Roman" w:eastAsia="方正仿宋_GBK" w:cs="Times New Roman"/>
          <w:sz w:val="28"/>
          <w:szCs w:val="28"/>
          <w:shd w:val="clear" w:color="auto" w:fill="FFFFFF"/>
          <w:lang w:val="en-US" w:eastAsia="zh-CN"/>
        </w:rPr>
        <w:t>4</w:t>
      </w:r>
      <w:r>
        <w:rPr>
          <w:rFonts w:hint="eastAsia" w:ascii="Times New Roman" w:hAnsi="Times New Roman" w:eastAsia="方正仿宋_GBK" w:cs="Times New Roman"/>
          <w:sz w:val="28"/>
          <w:szCs w:val="28"/>
          <w:shd w:val="clear" w:color="auto" w:fill="FFFFFF"/>
          <w:lang w:eastAsia="zh-CN"/>
        </w:rPr>
        <w:t>年</w:t>
      </w:r>
      <w:r>
        <w:rPr>
          <w:rFonts w:hint="default" w:ascii="Times New Roman" w:hAnsi="Times New Roman" w:eastAsia="方正仿宋_GBK" w:cs="Times New Roman"/>
          <w:sz w:val="28"/>
          <w:szCs w:val="28"/>
          <w:shd w:val="clear" w:color="auto" w:fill="FFFFFF"/>
        </w:rPr>
        <w:t>西南林业大学学术型硕士学位授权点分布情况表</w:t>
      </w:r>
    </w:p>
    <w:tbl>
      <w:tblPr>
        <w:tblStyle w:val="10"/>
        <w:tblW w:w="6951" w:type="dxa"/>
        <w:jc w:val="center"/>
        <w:tblLayout w:type="autofit"/>
        <w:tblCellMar>
          <w:top w:w="0" w:type="dxa"/>
          <w:left w:w="108" w:type="dxa"/>
          <w:bottom w:w="0" w:type="dxa"/>
          <w:right w:w="108" w:type="dxa"/>
        </w:tblCellMar>
      </w:tblPr>
      <w:tblGrid>
        <w:gridCol w:w="980"/>
        <w:gridCol w:w="1782"/>
        <w:gridCol w:w="2771"/>
        <w:gridCol w:w="1418"/>
      </w:tblGrid>
      <w:tr w14:paraId="52A32F9A">
        <w:tblPrEx>
          <w:tblCellMar>
            <w:top w:w="0" w:type="dxa"/>
            <w:left w:w="108" w:type="dxa"/>
            <w:bottom w:w="0" w:type="dxa"/>
            <w:right w:w="108" w:type="dxa"/>
          </w:tblCellMar>
        </w:tblPrEx>
        <w:trPr>
          <w:trHeight w:val="557" w:hRule="atLeast"/>
          <w:tblHeader/>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0AF">
            <w:pPr>
              <w:widowControl/>
              <w:snapToGrid w:val="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82" w:type="dxa"/>
            <w:tcBorders>
              <w:top w:val="single" w:color="000000" w:sz="4" w:space="0"/>
              <w:left w:val="nil"/>
              <w:bottom w:val="single" w:color="000000" w:sz="4" w:space="0"/>
              <w:right w:val="single" w:color="000000" w:sz="4" w:space="0"/>
            </w:tcBorders>
            <w:shd w:val="clear" w:color="auto" w:fill="auto"/>
            <w:vAlign w:val="center"/>
          </w:tcPr>
          <w:p w14:paraId="1DDC5DD7">
            <w:pPr>
              <w:widowControl/>
              <w:snapToGrid w:val="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一级学科</w:t>
            </w:r>
          </w:p>
          <w:p w14:paraId="5E734105">
            <w:pPr>
              <w:widowControl/>
              <w:snapToGrid w:val="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代码</w:t>
            </w:r>
          </w:p>
        </w:tc>
        <w:tc>
          <w:tcPr>
            <w:tcW w:w="2771" w:type="dxa"/>
            <w:tcBorders>
              <w:top w:val="single" w:color="000000" w:sz="4" w:space="0"/>
              <w:left w:val="nil"/>
              <w:bottom w:val="single" w:color="000000" w:sz="4" w:space="0"/>
              <w:right w:val="single" w:color="000000" w:sz="4" w:space="0"/>
            </w:tcBorders>
            <w:shd w:val="clear" w:color="auto" w:fill="auto"/>
            <w:vAlign w:val="center"/>
          </w:tcPr>
          <w:p w14:paraId="0692468B">
            <w:pPr>
              <w:widowControl/>
              <w:snapToGrid w:val="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一级学科名称</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34A90149">
            <w:pPr>
              <w:widowControl/>
              <w:snapToGrid w:val="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学科门类</w:t>
            </w:r>
          </w:p>
        </w:tc>
      </w:tr>
      <w:tr w14:paraId="67C7B4E2">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5965F7D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1782" w:type="dxa"/>
            <w:tcBorders>
              <w:top w:val="nil"/>
              <w:left w:val="nil"/>
              <w:bottom w:val="single" w:color="000000" w:sz="4" w:space="0"/>
              <w:right w:val="single" w:color="000000" w:sz="4" w:space="0"/>
            </w:tcBorders>
            <w:shd w:val="clear" w:color="auto" w:fill="auto"/>
            <w:vAlign w:val="center"/>
          </w:tcPr>
          <w:p w14:paraId="37E2E015">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0305</w:t>
            </w:r>
          </w:p>
        </w:tc>
        <w:tc>
          <w:tcPr>
            <w:tcW w:w="2771" w:type="dxa"/>
            <w:tcBorders>
              <w:top w:val="nil"/>
              <w:left w:val="nil"/>
              <w:bottom w:val="single" w:color="000000" w:sz="4" w:space="0"/>
              <w:right w:val="single" w:color="000000" w:sz="4" w:space="0"/>
            </w:tcBorders>
            <w:shd w:val="clear" w:color="auto" w:fill="auto"/>
            <w:vAlign w:val="center"/>
          </w:tcPr>
          <w:p w14:paraId="15BB56B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马克思主义理论</w:t>
            </w:r>
          </w:p>
        </w:tc>
        <w:tc>
          <w:tcPr>
            <w:tcW w:w="1418" w:type="dxa"/>
            <w:tcBorders>
              <w:top w:val="nil"/>
              <w:left w:val="nil"/>
              <w:bottom w:val="single" w:color="000000" w:sz="4" w:space="0"/>
              <w:right w:val="single" w:color="000000" w:sz="4" w:space="0"/>
            </w:tcBorders>
            <w:shd w:val="clear" w:color="auto" w:fill="auto"/>
            <w:noWrap/>
            <w:vAlign w:val="center"/>
          </w:tcPr>
          <w:p w14:paraId="4EF9FF65">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法学</w:t>
            </w:r>
          </w:p>
        </w:tc>
      </w:tr>
      <w:tr w14:paraId="7727D60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3733138">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1782" w:type="dxa"/>
            <w:tcBorders>
              <w:top w:val="nil"/>
              <w:left w:val="nil"/>
              <w:bottom w:val="single" w:color="000000" w:sz="4" w:space="0"/>
              <w:right w:val="single" w:color="000000" w:sz="4" w:space="0"/>
            </w:tcBorders>
            <w:shd w:val="clear" w:color="auto" w:fill="auto"/>
            <w:vAlign w:val="center"/>
          </w:tcPr>
          <w:p w14:paraId="2534197F">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0703</w:t>
            </w:r>
          </w:p>
        </w:tc>
        <w:tc>
          <w:tcPr>
            <w:tcW w:w="2771" w:type="dxa"/>
            <w:tcBorders>
              <w:top w:val="nil"/>
              <w:left w:val="nil"/>
              <w:bottom w:val="single" w:color="000000" w:sz="4" w:space="0"/>
              <w:right w:val="single" w:color="000000" w:sz="4" w:space="0"/>
            </w:tcBorders>
            <w:shd w:val="clear" w:color="auto" w:fill="auto"/>
            <w:vAlign w:val="center"/>
          </w:tcPr>
          <w:p w14:paraId="5AC2E332">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化学</w:t>
            </w:r>
          </w:p>
        </w:tc>
        <w:tc>
          <w:tcPr>
            <w:tcW w:w="1418" w:type="dxa"/>
            <w:tcBorders>
              <w:top w:val="nil"/>
              <w:left w:val="nil"/>
              <w:bottom w:val="single" w:color="000000" w:sz="4" w:space="0"/>
              <w:right w:val="single" w:color="000000" w:sz="4" w:space="0"/>
            </w:tcBorders>
            <w:shd w:val="clear" w:color="auto" w:fill="auto"/>
            <w:noWrap/>
            <w:vAlign w:val="center"/>
          </w:tcPr>
          <w:p w14:paraId="0192C8A3">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理学</w:t>
            </w:r>
          </w:p>
        </w:tc>
      </w:tr>
      <w:tr w14:paraId="10E3817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E4AA8F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c>
          <w:tcPr>
            <w:tcW w:w="1782" w:type="dxa"/>
            <w:tcBorders>
              <w:top w:val="nil"/>
              <w:left w:val="nil"/>
              <w:bottom w:val="single" w:color="000000" w:sz="4" w:space="0"/>
              <w:right w:val="single" w:color="000000" w:sz="4" w:space="0"/>
            </w:tcBorders>
            <w:shd w:val="clear" w:color="auto" w:fill="auto"/>
            <w:vAlign w:val="center"/>
          </w:tcPr>
          <w:p w14:paraId="214078ED">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0705 </w:t>
            </w:r>
          </w:p>
        </w:tc>
        <w:tc>
          <w:tcPr>
            <w:tcW w:w="2771" w:type="dxa"/>
            <w:tcBorders>
              <w:top w:val="nil"/>
              <w:left w:val="nil"/>
              <w:bottom w:val="single" w:color="000000" w:sz="4" w:space="0"/>
              <w:right w:val="single" w:color="000000" w:sz="4" w:space="0"/>
            </w:tcBorders>
            <w:shd w:val="clear" w:color="auto" w:fill="auto"/>
            <w:vAlign w:val="center"/>
          </w:tcPr>
          <w:p w14:paraId="416BDF3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地理学</w:t>
            </w:r>
          </w:p>
        </w:tc>
        <w:tc>
          <w:tcPr>
            <w:tcW w:w="1418" w:type="dxa"/>
            <w:tcBorders>
              <w:top w:val="nil"/>
              <w:left w:val="nil"/>
              <w:bottom w:val="single" w:color="000000" w:sz="4" w:space="0"/>
              <w:right w:val="single" w:color="000000" w:sz="4" w:space="0"/>
            </w:tcBorders>
            <w:shd w:val="clear" w:color="auto" w:fill="auto"/>
            <w:noWrap/>
            <w:vAlign w:val="center"/>
          </w:tcPr>
          <w:p w14:paraId="625FD10B">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理学</w:t>
            </w:r>
          </w:p>
        </w:tc>
      </w:tr>
      <w:tr w14:paraId="1C9536B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2E99BDA">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p>
        </w:tc>
        <w:tc>
          <w:tcPr>
            <w:tcW w:w="1782" w:type="dxa"/>
            <w:tcBorders>
              <w:top w:val="nil"/>
              <w:left w:val="nil"/>
              <w:bottom w:val="single" w:color="000000" w:sz="4" w:space="0"/>
              <w:right w:val="single" w:color="000000" w:sz="4" w:space="0"/>
            </w:tcBorders>
            <w:shd w:val="clear" w:color="auto" w:fill="auto"/>
            <w:vAlign w:val="center"/>
          </w:tcPr>
          <w:p w14:paraId="570CBED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0710 </w:t>
            </w:r>
          </w:p>
        </w:tc>
        <w:tc>
          <w:tcPr>
            <w:tcW w:w="2771" w:type="dxa"/>
            <w:tcBorders>
              <w:top w:val="nil"/>
              <w:left w:val="nil"/>
              <w:bottom w:val="single" w:color="000000" w:sz="4" w:space="0"/>
              <w:right w:val="single" w:color="000000" w:sz="4" w:space="0"/>
            </w:tcBorders>
            <w:shd w:val="clear" w:color="auto" w:fill="auto"/>
            <w:vAlign w:val="center"/>
          </w:tcPr>
          <w:p w14:paraId="1F01B38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生物学</w:t>
            </w:r>
          </w:p>
        </w:tc>
        <w:tc>
          <w:tcPr>
            <w:tcW w:w="1418" w:type="dxa"/>
            <w:tcBorders>
              <w:top w:val="nil"/>
              <w:left w:val="nil"/>
              <w:bottom w:val="single" w:color="000000" w:sz="4" w:space="0"/>
              <w:right w:val="single" w:color="000000" w:sz="4" w:space="0"/>
            </w:tcBorders>
            <w:shd w:val="clear" w:color="auto" w:fill="auto"/>
            <w:noWrap/>
            <w:vAlign w:val="center"/>
          </w:tcPr>
          <w:p w14:paraId="1F51B4E3">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理学</w:t>
            </w:r>
          </w:p>
        </w:tc>
      </w:tr>
      <w:tr w14:paraId="79551CB7">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35FF00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p>
        </w:tc>
        <w:tc>
          <w:tcPr>
            <w:tcW w:w="1782" w:type="dxa"/>
            <w:tcBorders>
              <w:top w:val="nil"/>
              <w:left w:val="nil"/>
              <w:bottom w:val="single" w:color="000000" w:sz="4" w:space="0"/>
              <w:right w:val="single" w:color="000000" w:sz="4" w:space="0"/>
            </w:tcBorders>
            <w:shd w:val="clear" w:color="auto" w:fill="auto"/>
            <w:vAlign w:val="center"/>
          </w:tcPr>
          <w:p w14:paraId="32891510">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0711</w:t>
            </w:r>
          </w:p>
        </w:tc>
        <w:tc>
          <w:tcPr>
            <w:tcW w:w="2771" w:type="dxa"/>
            <w:tcBorders>
              <w:top w:val="nil"/>
              <w:left w:val="nil"/>
              <w:bottom w:val="single" w:color="000000" w:sz="4" w:space="0"/>
              <w:right w:val="single" w:color="000000" w:sz="4" w:space="0"/>
            </w:tcBorders>
            <w:shd w:val="clear" w:color="auto" w:fill="auto"/>
            <w:vAlign w:val="center"/>
          </w:tcPr>
          <w:p w14:paraId="4FF9E7B2">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系统科学</w:t>
            </w:r>
          </w:p>
        </w:tc>
        <w:tc>
          <w:tcPr>
            <w:tcW w:w="1418" w:type="dxa"/>
            <w:tcBorders>
              <w:top w:val="nil"/>
              <w:left w:val="nil"/>
              <w:bottom w:val="single" w:color="000000" w:sz="4" w:space="0"/>
              <w:right w:val="single" w:color="000000" w:sz="4" w:space="0"/>
            </w:tcBorders>
            <w:shd w:val="clear" w:color="auto" w:fill="auto"/>
            <w:noWrap/>
            <w:vAlign w:val="center"/>
          </w:tcPr>
          <w:p w14:paraId="413A6C2F">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理学</w:t>
            </w:r>
          </w:p>
        </w:tc>
      </w:tr>
      <w:tr w14:paraId="2EA3030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513B89E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w:t>
            </w:r>
          </w:p>
        </w:tc>
        <w:tc>
          <w:tcPr>
            <w:tcW w:w="1782" w:type="dxa"/>
            <w:tcBorders>
              <w:top w:val="nil"/>
              <w:left w:val="nil"/>
              <w:bottom w:val="single" w:color="000000" w:sz="4" w:space="0"/>
              <w:right w:val="single" w:color="000000" w:sz="4" w:space="0"/>
            </w:tcBorders>
            <w:shd w:val="clear" w:color="auto" w:fill="auto"/>
            <w:vAlign w:val="center"/>
          </w:tcPr>
          <w:p w14:paraId="7426FCDF">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0713</w:t>
            </w:r>
          </w:p>
        </w:tc>
        <w:tc>
          <w:tcPr>
            <w:tcW w:w="2771" w:type="dxa"/>
            <w:tcBorders>
              <w:top w:val="nil"/>
              <w:left w:val="nil"/>
              <w:bottom w:val="single" w:color="000000" w:sz="4" w:space="0"/>
              <w:right w:val="single" w:color="000000" w:sz="4" w:space="0"/>
            </w:tcBorders>
            <w:shd w:val="clear" w:color="auto" w:fill="auto"/>
            <w:vAlign w:val="center"/>
          </w:tcPr>
          <w:p w14:paraId="16BFE48F">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生态学</w:t>
            </w:r>
          </w:p>
        </w:tc>
        <w:tc>
          <w:tcPr>
            <w:tcW w:w="1418" w:type="dxa"/>
            <w:tcBorders>
              <w:top w:val="nil"/>
              <w:left w:val="nil"/>
              <w:bottom w:val="single" w:color="000000" w:sz="4" w:space="0"/>
              <w:right w:val="single" w:color="000000" w:sz="4" w:space="0"/>
            </w:tcBorders>
            <w:shd w:val="clear" w:color="auto" w:fill="auto"/>
            <w:noWrap/>
            <w:vAlign w:val="center"/>
          </w:tcPr>
          <w:p w14:paraId="5AB00B01">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理学</w:t>
            </w:r>
          </w:p>
        </w:tc>
      </w:tr>
      <w:tr w14:paraId="5363BC5F">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EB7D8F8">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w:t>
            </w:r>
          </w:p>
        </w:tc>
        <w:tc>
          <w:tcPr>
            <w:tcW w:w="1782" w:type="dxa"/>
            <w:tcBorders>
              <w:top w:val="nil"/>
              <w:left w:val="nil"/>
              <w:bottom w:val="single" w:color="000000" w:sz="4" w:space="0"/>
              <w:right w:val="single" w:color="000000" w:sz="4" w:space="0"/>
            </w:tcBorders>
            <w:shd w:val="clear" w:color="auto" w:fill="auto"/>
            <w:vAlign w:val="center"/>
          </w:tcPr>
          <w:p w14:paraId="2E0B6921">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0802</w:t>
            </w:r>
          </w:p>
        </w:tc>
        <w:tc>
          <w:tcPr>
            <w:tcW w:w="2771" w:type="dxa"/>
            <w:tcBorders>
              <w:top w:val="nil"/>
              <w:left w:val="nil"/>
              <w:bottom w:val="single" w:color="000000" w:sz="4" w:space="0"/>
              <w:right w:val="single" w:color="000000" w:sz="4" w:space="0"/>
            </w:tcBorders>
            <w:shd w:val="clear" w:color="auto" w:fill="auto"/>
            <w:vAlign w:val="center"/>
          </w:tcPr>
          <w:p w14:paraId="06CCD1F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机械工程</w:t>
            </w:r>
          </w:p>
        </w:tc>
        <w:tc>
          <w:tcPr>
            <w:tcW w:w="1418" w:type="dxa"/>
            <w:tcBorders>
              <w:top w:val="nil"/>
              <w:left w:val="nil"/>
              <w:bottom w:val="single" w:color="000000" w:sz="4" w:space="0"/>
              <w:right w:val="single" w:color="000000" w:sz="4" w:space="0"/>
            </w:tcBorders>
            <w:shd w:val="clear" w:color="auto" w:fill="auto"/>
            <w:noWrap/>
            <w:vAlign w:val="center"/>
          </w:tcPr>
          <w:p w14:paraId="7A9F7BF7">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r>
      <w:tr w14:paraId="3E77E5D9">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43E7C47">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w:t>
            </w:r>
          </w:p>
        </w:tc>
        <w:tc>
          <w:tcPr>
            <w:tcW w:w="1782" w:type="dxa"/>
            <w:tcBorders>
              <w:top w:val="nil"/>
              <w:left w:val="nil"/>
              <w:bottom w:val="single" w:color="000000" w:sz="4" w:space="0"/>
              <w:right w:val="single" w:color="000000" w:sz="4" w:space="0"/>
            </w:tcBorders>
            <w:shd w:val="clear" w:color="auto" w:fill="auto"/>
            <w:vAlign w:val="center"/>
          </w:tcPr>
          <w:p w14:paraId="5C327B9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0805</w:t>
            </w:r>
          </w:p>
        </w:tc>
        <w:tc>
          <w:tcPr>
            <w:tcW w:w="2771" w:type="dxa"/>
            <w:tcBorders>
              <w:top w:val="nil"/>
              <w:left w:val="nil"/>
              <w:bottom w:val="single" w:color="000000" w:sz="4" w:space="0"/>
              <w:right w:val="single" w:color="000000" w:sz="4" w:space="0"/>
            </w:tcBorders>
            <w:shd w:val="clear" w:color="auto" w:fill="auto"/>
            <w:vAlign w:val="center"/>
          </w:tcPr>
          <w:p w14:paraId="17BD55B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材料科学与工程</w:t>
            </w:r>
          </w:p>
        </w:tc>
        <w:tc>
          <w:tcPr>
            <w:tcW w:w="1418" w:type="dxa"/>
            <w:tcBorders>
              <w:top w:val="nil"/>
              <w:left w:val="nil"/>
              <w:bottom w:val="single" w:color="000000" w:sz="4" w:space="0"/>
              <w:right w:val="single" w:color="000000" w:sz="4" w:space="0"/>
            </w:tcBorders>
            <w:shd w:val="clear" w:color="auto" w:fill="auto"/>
            <w:noWrap/>
            <w:vAlign w:val="center"/>
          </w:tcPr>
          <w:p w14:paraId="558DDD8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r>
      <w:tr w14:paraId="396A2730">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18B987F5">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w:t>
            </w:r>
          </w:p>
        </w:tc>
        <w:tc>
          <w:tcPr>
            <w:tcW w:w="1782" w:type="dxa"/>
            <w:tcBorders>
              <w:top w:val="nil"/>
              <w:left w:val="nil"/>
              <w:bottom w:val="single" w:color="000000" w:sz="4" w:space="0"/>
              <w:right w:val="single" w:color="000000" w:sz="4" w:space="0"/>
            </w:tcBorders>
            <w:shd w:val="clear" w:color="auto" w:fill="auto"/>
            <w:vAlign w:val="center"/>
          </w:tcPr>
          <w:p w14:paraId="20A1787B">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0829</w:t>
            </w:r>
          </w:p>
        </w:tc>
        <w:tc>
          <w:tcPr>
            <w:tcW w:w="2771" w:type="dxa"/>
            <w:tcBorders>
              <w:top w:val="nil"/>
              <w:left w:val="nil"/>
              <w:bottom w:val="single" w:color="000000" w:sz="4" w:space="0"/>
              <w:right w:val="single" w:color="000000" w:sz="4" w:space="0"/>
            </w:tcBorders>
            <w:shd w:val="clear" w:color="auto" w:fill="auto"/>
            <w:vAlign w:val="center"/>
          </w:tcPr>
          <w:p w14:paraId="6D97BC2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林业工程</w:t>
            </w:r>
          </w:p>
        </w:tc>
        <w:tc>
          <w:tcPr>
            <w:tcW w:w="1418" w:type="dxa"/>
            <w:tcBorders>
              <w:top w:val="nil"/>
              <w:left w:val="nil"/>
              <w:bottom w:val="single" w:color="000000" w:sz="4" w:space="0"/>
              <w:right w:val="single" w:color="000000" w:sz="4" w:space="0"/>
            </w:tcBorders>
            <w:shd w:val="clear" w:color="auto" w:fill="auto"/>
            <w:noWrap/>
            <w:vAlign w:val="center"/>
          </w:tcPr>
          <w:p w14:paraId="711B2512">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r>
      <w:tr w14:paraId="090650D8">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86E3BD2">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p>
        </w:tc>
        <w:tc>
          <w:tcPr>
            <w:tcW w:w="1782" w:type="dxa"/>
            <w:tcBorders>
              <w:top w:val="nil"/>
              <w:left w:val="nil"/>
              <w:bottom w:val="single" w:color="000000" w:sz="4" w:space="0"/>
              <w:right w:val="single" w:color="000000" w:sz="4" w:space="0"/>
            </w:tcBorders>
            <w:shd w:val="clear" w:color="auto" w:fill="auto"/>
            <w:vAlign w:val="center"/>
          </w:tcPr>
          <w:p w14:paraId="77F9C9E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0902</w:t>
            </w:r>
          </w:p>
        </w:tc>
        <w:tc>
          <w:tcPr>
            <w:tcW w:w="2771" w:type="dxa"/>
            <w:tcBorders>
              <w:top w:val="nil"/>
              <w:left w:val="nil"/>
              <w:bottom w:val="single" w:color="000000" w:sz="4" w:space="0"/>
              <w:right w:val="single" w:color="000000" w:sz="4" w:space="0"/>
            </w:tcBorders>
            <w:shd w:val="clear" w:color="auto" w:fill="auto"/>
            <w:vAlign w:val="center"/>
          </w:tcPr>
          <w:p w14:paraId="44C33187">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园艺学</w:t>
            </w:r>
          </w:p>
        </w:tc>
        <w:tc>
          <w:tcPr>
            <w:tcW w:w="1418" w:type="dxa"/>
            <w:tcBorders>
              <w:top w:val="nil"/>
              <w:left w:val="nil"/>
              <w:bottom w:val="single" w:color="000000" w:sz="4" w:space="0"/>
              <w:right w:val="single" w:color="000000" w:sz="4" w:space="0"/>
            </w:tcBorders>
            <w:shd w:val="clear" w:color="auto" w:fill="auto"/>
            <w:noWrap/>
            <w:vAlign w:val="center"/>
          </w:tcPr>
          <w:p w14:paraId="0F4FF212">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农学</w:t>
            </w:r>
          </w:p>
        </w:tc>
      </w:tr>
      <w:tr w14:paraId="5E13D8A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525819B4">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w:t>
            </w:r>
          </w:p>
        </w:tc>
        <w:tc>
          <w:tcPr>
            <w:tcW w:w="1782" w:type="dxa"/>
            <w:tcBorders>
              <w:top w:val="nil"/>
              <w:left w:val="nil"/>
              <w:bottom w:val="single" w:color="000000" w:sz="4" w:space="0"/>
              <w:right w:val="single" w:color="000000" w:sz="4" w:space="0"/>
            </w:tcBorders>
            <w:shd w:val="clear" w:color="auto" w:fill="auto"/>
            <w:vAlign w:val="center"/>
          </w:tcPr>
          <w:p w14:paraId="18DEE0D1">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0907</w:t>
            </w:r>
          </w:p>
        </w:tc>
        <w:tc>
          <w:tcPr>
            <w:tcW w:w="2771" w:type="dxa"/>
            <w:tcBorders>
              <w:top w:val="nil"/>
              <w:left w:val="nil"/>
              <w:bottom w:val="single" w:color="000000" w:sz="4" w:space="0"/>
              <w:right w:val="single" w:color="000000" w:sz="4" w:space="0"/>
            </w:tcBorders>
            <w:shd w:val="clear" w:color="auto" w:fill="auto"/>
            <w:vAlign w:val="center"/>
          </w:tcPr>
          <w:p w14:paraId="39635DE9">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林学</w:t>
            </w:r>
          </w:p>
        </w:tc>
        <w:tc>
          <w:tcPr>
            <w:tcW w:w="1418" w:type="dxa"/>
            <w:tcBorders>
              <w:top w:val="nil"/>
              <w:left w:val="nil"/>
              <w:bottom w:val="single" w:color="000000" w:sz="4" w:space="0"/>
              <w:right w:val="single" w:color="000000" w:sz="4" w:space="0"/>
            </w:tcBorders>
            <w:shd w:val="clear" w:color="auto" w:fill="auto"/>
            <w:noWrap/>
            <w:vAlign w:val="center"/>
          </w:tcPr>
          <w:p w14:paraId="34167F0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农学</w:t>
            </w:r>
          </w:p>
        </w:tc>
      </w:tr>
      <w:tr w14:paraId="1BC2BB8C">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A6C5A5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p>
        </w:tc>
        <w:tc>
          <w:tcPr>
            <w:tcW w:w="1782" w:type="dxa"/>
            <w:tcBorders>
              <w:top w:val="nil"/>
              <w:left w:val="nil"/>
              <w:bottom w:val="single" w:color="000000" w:sz="4" w:space="0"/>
              <w:right w:val="single" w:color="000000" w:sz="4" w:space="0"/>
            </w:tcBorders>
            <w:shd w:val="clear" w:color="auto" w:fill="auto"/>
            <w:vAlign w:val="center"/>
          </w:tcPr>
          <w:p w14:paraId="69D267E3">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1202 </w:t>
            </w:r>
          </w:p>
        </w:tc>
        <w:tc>
          <w:tcPr>
            <w:tcW w:w="2771" w:type="dxa"/>
            <w:tcBorders>
              <w:top w:val="nil"/>
              <w:left w:val="nil"/>
              <w:bottom w:val="single" w:color="000000" w:sz="4" w:space="0"/>
              <w:right w:val="single" w:color="000000" w:sz="4" w:space="0"/>
            </w:tcBorders>
            <w:shd w:val="clear" w:color="auto" w:fill="auto"/>
            <w:vAlign w:val="center"/>
          </w:tcPr>
          <w:p w14:paraId="47E856B7">
            <w:pPr>
              <w:snapToGrid w:val="0"/>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工商管理</w:t>
            </w:r>
            <w:r>
              <w:rPr>
                <w:rFonts w:hint="eastAsia" w:ascii="方正仿宋_GBK" w:hAnsi="方正仿宋_GBK" w:eastAsia="方正仿宋_GBK" w:cs="方正仿宋_GBK"/>
                <w:color w:val="000000"/>
                <w:sz w:val="28"/>
                <w:szCs w:val="28"/>
                <w:lang w:val="en-US" w:eastAsia="zh-CN"/>
              </w:rPr>
              <w:t>学</w:t>
            </w:r>
          </w:p>
        </w:tc>
        <w:tc>
          <w:tcPr>
            <w:tcW w:w="1418" w:type="dxa"/>
            <w:tcBorders>
              <w:top w:val="nil"/>
              <w:left w:val="nil"/>
              <w:bottom w:val="single" w:color="000000" w:sz="4" w:space="0"/>
              <w:right w:val="single" w:color="000000" w:sz="4" w:space="0"/>
            </w:tcBorders>
            <w:shd w:val="clear" w:color="auto" w:fill="auto"/>
            <w:noWrap/>
            <w:vAlign w:val="center"/>
          </w:tcPr>
          <w:p w14:paraId="37538FD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管理学</w:t>
            </w:r>
          </w:p>
        </w:tc>
      </w:tr>
      <w:tr w14:paraId="0F932C0B">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18A1AE6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w:t>
            </w:r>
          </w:p>
        </w:tc>
        <w:tc>
          <w:tcPr>
            <w:tcW w:w="1782" w:type="dxa"/>
            <w:tcBorders>
              <w:top w:val="nil"/>
              <w:left w:val="nil"/>
              <w:bottom w:val="single" w:color="000000" w:sz="4" w:space="0"/>
              <w:right w:val="single" w:color="000000" w:sz="4" w:space="0"/>
            </w:tcBorders>
            <w:shd w:val="clear" w:color="auto" w:fill="auto"/>
            <w:vAlign w:val="center"/>
          </w:tcPr>
          <w:p w14:paraId="0DAD206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1203</w:t>
            </w:r>
          </w:p>
        </w:tc>
        <w:tc>
          <w:tcPr>
            <w:tcW w:w="2771" w:type="dxa"/>
            <w:tcBorders>
              <w:top w:val="nil"/>
              <w:left w:val="nil"/>
              <w:bottom w:val="single" w:color="000000" w:sz="4" w:space="0"/>
              <w:right w:val="single" w:color="000000" w:sz="4" w:space="0"/>
            </w:tcBorders>
            <w:shd w:val="clear" w:color="auto" w:fill="auto"/>
            <w:vAlign w:val="center"/>
          </w:tcPr>
          <w:p w14:paraId="45C1E278">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农林经济管理</w:t>
            </w:r>
          </w:p>
        </w:tc>
        <w:tc>
          <w:tcPr>
            <w:tcW w:w="1418" w:type="dxa"/>
            <w:tcBorders>
              <w:top w:val="nil"/>
              <w:left w:val="nil"/>
              <w:bottom w:val="single" w:color="000000" w:sz="4" w:space="0"/>
              <w:right w:val="single" w:color="000000" w:sz="4" w:space="0"/>
            </w:tcBorders>
            <w:shd w:val="clear" w:color="auto" w:fill="auto"/>
            <w:noWrap/>
            <w:vAlign w:val="center"/>
          </w:tcPr>
          <w:p w14:paraId="3A19EC83">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管理学</w:t>
            </w:r>
          </w:p>
        </w:tc>
      </w:tr>
      <w:tr w14:paraId="0367541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auto" w:sz="4" w:space="0"/>
              <w:right w:val="single" w:color="000000" w:sz="4" w:space="0"/>
            </w:tcBorders>
            <w:shd w:val="clear" w:color="auto" w:fill="auto"/>
            <w:vAlign w:val="center"/>
          </w:tcPr>
          <w:p w14:paraId="1C0D5C4B">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w:t>
            </w:r>
          </w:p>
        </w:tc>
        <w:tc>
          <w:tcPr>
            <w:tcW w:w="1782" w:type="dxa"/>
            <w:tcBorders>
              <w:top w:val="nil"/>
              <w:left w:val="nil"/>
              <w:bottom w:val="single" w:color="auto" w:sz="4" w:space="0"/>
              <w:right w:val="single" w:color="000000" w:sz="4" w:space="0"/>
            </w:tcBorders>
            <w:shd w:val="clear" w:color="auto" w:fill="auto"/>
            <w:vAlign w:val="center"/>
          </w:tcPr>
          <w:p w14:paraId="479A68DC">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1403</w:t>
            </w:r>
          </w:p>
        </w:tc>
        <w:tc>
          <w:tcPr>
            <w:tcW w:w="2771" w:type="dxa"/>
            <w:tcBorders>
              <w:top w:val="nil"/>
              <w:left w:val="nil"/>
              <w:bottom w:val="single" w:color="auto" w:sz="4" w:space="0"/>
              <w:right w:val="single" w:color="000000" w:sz="4" w:space="0"/>
            </w:tcBorders>
            <w:shd w:val="clear" w:color="auto" w:fill="auto"/>
            <w:vAlign w:val="center"/>
          </w:tcPr>
          <w:p w14:paraId="09B5A1EF">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设计学</w:t>
            </w:r>
          </w:p>
        </w:tc>
        <w:tc>
          <w:tcPr>
            <w:tcW w:w="1418" w:type="dxa"/>
            <w:tcBorders>
              <w:top w:val="nil"/>
              <w:left w:val="nil"/>
              <w:bottom w:val="single" w:color="auto" w:sz="4" w:space="0"/>
              <w:right w:val="single" w:color="000000" w:sz="4" w:space="0"/>
            </w:tcBorders>
            <w:shd w:val="clear" w:color="auto" w:fill="auto"/>
            <w:noWrap/>
            <w:vAlign w:val="center"/>
          </w:tcPr>
          <w:p w14:paraId="1811F16B">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交叉学科</w:t>
            </w:r>
          </w:p>
        </w:tc>
      </w:tr>
      <w:tr w14:paraId="42759805">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auto" w:sz="4" w:space="0"/>
              <w:right w:val="single" w:color="000000" w:sz="4" w:space="0"/>
            </w:tcBorders>
            <w:shd w:val="clear" w:color="auto" w:fill="auto"/>
            <w:vAlign w:val="center"/>
          </w:tcPr>
          <w:p w14:paraId="2E10BA83">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w:t>
            </w:r>
          </w:p>
        </w:tc>
        <w:tc>
          <w:tcPr>
            <w:tcW w:w="1782" w:type="dxa"/>
            <w:tcBorders>
              <w:top w:val="nil"/>
              <w:left w:val="nil"/>
              <w:bottom w:val="single" w:color="auto" w:sz="4" w:space="0"/>
              <w:right w:val="single" w:color="000000" w:sz="4" w:space="0"/>
            </w:tcBorders>
            <w:shd w:val="clear" w:color="auto" w:fill="auto"/>
            <w:vAlign w:val="center"/>
          </w:tcPr>
          <w:p w14:paraId="52CFFF1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0833</w:t>
            </w:r>
          </w:p>
        </w:tc>
        <w:tc>
          <w:tcPr>
            <w:tcW w:w="2771" w:type="dxa"/>
            <w:tcBorders>
              <w:top w:val="nil"/>
              <w:left w:val="nil"/>
              <w:bottom w:val="single" w:color="auto" w:sz="4" w:space="0"/>
              <w:right w:val="single" w:color="000000" w:sz="4" w:space="0"/>
            </w:tcBorders>
            <w:shd w:val="clear" w:color="auto" w:fill="auto"/>
            <w:vAlign w:val="center"/>
          </w:tcPr>
          <w:p w14:paraId="107AFF5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城乡规划学</w:t>
            </w:r>
          </w:p>
        </w:tc>
        <w:tc>
          <w:tcPr>
            <w:tcW w:w="1418" w:type="dxa"/>
            <w:tcBorders>
              <w:top w:val="nil"/>
              <w:left w:val="nil"/>
              <w:bottom w:val="single" w:color="auto" w:sz="4" w:space="0"/>
              <w:right w:val="single" w:color="000000" w:sz="4" w:space="0"/>
            </w:tcBorders>
            <w:shd w:val="clear" w:color="auto" w:fill="auto"/>
            <w:noWrap/>
            <w:vAlign w:val="center"/>
          </w:tcPr>
          <w:p w14:paraId="59A24D20">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r>
      <w:tr w14:paraId="5E269338">
        <w:tblPrEx>
          <w:tblCellMar>
            <w:top w:w="0" w:type="dxa"/>
            <w:left w:w="108" w:type="dxa"/>
            <w:bottom w:w="0" w:type="dxa"/>
            <w:right w:w="108" w:type="dxa"/>
          </w:tblCellMar>
        </w:tblPrEx>
        <w:trPr>
          <w:trHeight w:val="274"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455D80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14:paraId="5C4D40B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0832</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1AB85A7D">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食品科学与工程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4351E">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工学</w:t>
            </w:r>
          </w:p>
        </w:tc>
      </w:tr>
      <w:tr w14:paraId="40B4581E">
        <w:tblPrEx>
          <w:tblCellMar>
            <w:top w:w="0" w:type="dxa"/>
            <w:left w:w="108" w:type="dxa"/>
            <w:bottom w:w="0" w:type="dxa"/>
            <w:right w:w="108" w:type="dxa"/>
          </w:tblCellMar>
        </w:tblPrEx>
        <w:trPr>
          <w:trHeight w:val="274"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8EAA49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w:t>
            </w:r>
          </w:p>
        </w:tc>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14:paraId="2CB8CEC8">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0910</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48E1A2A7">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水土保持与荒漠化防治学</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9ABE6">
            <w:pPr>
              <w:snapToGrid w:val="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农学</w:t>
            </w:r>
          </w:p>
        </w:tc>
      </w:tr>
    </w:tbl>
    <w:p w14:paraId="51616702">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（3）硕士专业学位类别分布情况</w:t>
      </w:r>
    </w:p>
    <w:p w14:paraId="7585A6FD">
      <w:pPr>
        <w:pStyle w:val="3"/>
        <w:snapToGrid w:val="0"/>
        <w:spacing w:after="156" w:afterLines="50" w:line="500" w:lineRule="exact"/>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我校硕士专业学位类别分布情况如表1-3所示。</w:t>
      </w:r>
    </w:p>
    <w:p w14:paraId="03D0EA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 xml:space="preserve">表1-3 </w:t>
      </w:r>
      <w:r>
        <w:rPr>
          <w:rFonts w:hint="eastAsia" w:ascii="Times New Roman" w:hAnsi="Times New Roman" w:eastAsia="方正仿宋_GBK" w:cs="Times New Roman"/>
          <w:sz w:val="28"/>
          <w:szCs w:val="28"/>
          <w:shd w:val="clear" w:color="auto" w:fill="FFFFFF"/>
          <w:lang w:eastAsia="zh-CN"/>
        </w:rPr>
        <w:t>202</w:t>
      </w:r>
      <w:r>
        <w:rPr>
          <w:rFonts w:hint="eastAsia" w:ascii="Times New Roman" w:hAnsi="Times New Roman" w:eastAsia="方正仿宋_GBK" w:cs="Times New Roman"/>
          <w:sz w:val="28"/>
          <w:szCs w:val="28"/>
          <w:shd w:val="clear" w:color="auto" w:fill="FFFFFF"/>
          <w:lang w:val="en-US" w:eastAsia="zh-CN"/>
        </w:rPr>
        <w:t>4</w:t>
      </w:r>
      <w:r>
        <w:rPr>
          <w:rFonts w:hint="eastAsia" w:ascii="Times New Roman" w:hAnsi="Times New Roman" w:eastAsia="方正仿宋_GBK" w:cs="Times New Roman"/>
          <w:sz w:val="28"/>
          <w:szCs w:val="28"/>
          <w:shd w:val="clear" w:color="auto" w:fill="FFFFFF"/>
          <w:lang w:eastAsia="zh-CN"/>
        </w:rPr>
        <w:t>年</w:t>
      </w:r>
      <w:r>
        <w:rPr>
          <w:rFonts w:hint="default" w:ascii="Times New Roman" w:hAnsi="Times New Roman" w:eastAsia="方正仿宋_GBK" w:cs="Times New Roman"/>
          <w:sz w:val="28"/>
          <w:szCs w:val="28"/>
          <w:shd w:val="clear" w:color="auto" w:fill="FFFFFF"/>
        </w:rPr>
        <w:t>西南林业大学硕士专业学位类别分布情况表</w:t>
      </w:r>
    </w:p>
    <w:tbl>
      <w:tblPr>
        <w:tblStyle w:val="10"/>
        <w:tblW w:w="8429" w:type="dxa"/>
        <w:jc w:val="center"/>
        <w:tblLayout w:type="autofit"/>
        <w:tblCellMar>
          <w:top w:w="0" w:type="dxa"/>
          <w:left w:w="108" w:type="dxa"/>
          <w:bottom w:w="0" w:type="dxa"/>
          <w:right w:w="108" w:type="dxa"/>
        </w:tblCellMar>
      </w:tblPr>
      <w:tblGrid>
        <w:gridCol w:w="880"/>
        <w:gridCol w:w="1000"/>
        <w:gridCol w:w="2413"/>
        <w:gridCol w:w="1160"/>
        <w:gridCol w:w="2976"/>
      </w:tblGrid>
      <w:tr w14:paraId="5C004EEA">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68B88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14:paraId="5DDB8FB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专业学位代码</w:t>
            </w:r>
          </w:p>
        </w:tc>
        <w:tc>
          <w:tcPr>
            <w:tcW w:w="2413" w:type="dxa"/>
            <w:tcBorders>
              <w:top w:val="single" w:color="auto" w:sz="4" w:space="0"/>
              <w:left w:val="nil"/>
              <w:bottom w:val="single" w:color="auto" w:sz="4" w:space="0"/>
              <w:right w:val="single" w:color="auto" w:sz="4" w:space="0"/>
            </w:tcBorders>
            <w:shd w:val="clear" w:color="auto" w:fill="auto"/>
            <w:vAlign w:val="center"/>
          </w:tcPr>
          <w:p w14:paraId="704266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专业学位类别名称</w:t>
            </w:r>
          </w:p>
        </w:tc>
        <w:tc>
          <w:tcPr>
            <w:tcW w:w="1160" w:type="dxa"/>
            <w:tcBorders>
              <w:top w:val="single" w:color="auto" w:sz="4" w:space="0"/>
              <w:left w:val="nil"/>
              <w:bottom w:val="single" w:color="auto" w:sz="4" w:space="0"/>
              <w:right w:val="single" w:color="auto" w:sz="4" w:space="0"/>
            </w:tcBorders>
            <w:shd w:val="clear" w:color="auto" w:fill="auto"/>
            <w:vAlign w:val="center"/>
          </w:tcPr>
          <w:p w14:paraId="5D40D823">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专业学位领域代码</w:t>
            </w:r>
          </w:p>
        </w:tc>
        <w:tc>
          <w:tcPr>
            <w:tcW w:w="2976" w:type="dxa"/>
            <w:tcBorders>
              <w:top w:val="single" w:color="auto" w:sz="4" w:space="0"/>
              <w:left w:val="nil"/>
              <w:bottom w:val="single" w:color="auto" w:sz="4" w:space="0"/>
              <w:right w:val="single" w:color="auto" w:sz="4" w:space="0"/>
            </w:tcBorders>
            <w:shd w:val="clear" w:color="auto" w:fill="auto"/>
            <w:vAlign w:val="center"/>
          </w:tcPr>
          <w:p w14:paraId="6427469A">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专业学位领域名称</w:t>
            </w:r>
          </w:p>
        </w:tc>
      </w:tr>
      <w:tr w14:paraId="5AB99D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9D4BE4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 </w:t>
            </w:r>
          </w:p>
        </w:tc>
        <w:tc>
          <w:tcPr>
            <w:tcW w:w="1000" w:type="dxa"/>
            <w:tcBorders>
              <w:top w:val="nil"/>
              <w:left w:val="nil"/>
              <w:bottom w:val="single" w:color="auto" w:sz="4" w:space="0"/>
              <w:right w:val="single" w:color="auto" w:sz="4" w:space="0"/>
            </w:tcBorders>
            <w:shd w:val="clear" w:color="auto" w:fill="auto"/>
            <w:noWrap/>
            <w:vAlign w:val="center"/>
          </w:tcPr>
          <w:p w14:paraId="33601C9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0256 </w:t>
            </w:r>
          </w:p>
        </w:tc>
        <w:tc>
          <w:tcPr>
            <w:tcW w:w="2413" w:type="dxa"/>
            <w:tcBorders>
              <w:top w:val="nil"/>
              <w:left w:val="nil"/>
              <w:bottom w:val="single" w:color="auto" w:sz="4" w:space="0"/>
              <w:right w:val="single" w:color="auto" w:sz="4" w:space="0"/>
            </w:tcBorders>
            <w:shd w:val="clear" w:color="auto" w:fill="auto"/>
            <w:noWrap/>
            <w:vAlign w:val="center"/>
          </w:tcPr>
          <w:p w14:paraId="436B4C2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资产评估</w:t>
            </w:r>
          </w:p>
        </w:tc>
        <w:tc>
          <w:tcPr>
            <w:tcW w:w="1160" w:type="dxa"/>
            <w:tcBorders>
              <w:top w:val="nil"/>
              <w:left w:val="nil"/>
              <w:bottom w:val="single" w:color="auto" w:sz="4" w:space="0"/>
              <w:right w:val="single" w:color="auto" w:sz="4" w:space="0"/>
            </w:tcBorders>
            <w:shd w:val="clear" w:color="auto" w:fill="auto"/>
            <w:noWrap/>
            <w:vAlign w:val="center"/>
          </w:tcPr>
          <w:p w14:paraId="1285A4C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833FF2F">
            <w:pPr>
              <w:snapToGrid w:val="0"/>
              <w:jc w:val="center"/>
              <w:rPr>
                <w:rFonts w:hint="default" w:ascii="Times New Roman" w:hAnsi="Times New Roman" w:eastAsia="方正仿宋_GBK" w:cs="Times New Roman"/>
                <w:color w:val="000000"/>
                <w:sz w:val="28"/>
                <w:szCs w:val="32"/>
              </w:rPr>
            </w:pPr>
          </w:p>
        </w:tc>
      </w:tr>
      <w:tr w14:paraId="0832A172">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612DE2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2 </w:t>
            </w:r>
          </w:p>
        </w:tc>
        <w:tc>
          <w:tcPr>
            <w:tcW w:w="1000" w:type="dxa"/>
            <w:tcBorders>
              <w:top w:val="nil"/>
              <w:left w:val="nil"/>
              <w:bottom w:val="single" w:color="auto" w:sz="4" w:space="0"/>
              <w:right w:val="single" w:color="auto" w:sz="4" w:space="0"/>
            </w:tcBorders>
            <w:shd w:val="clear" w:color="auto" w:fill="auto"/>
            <w:noWrap/>
            <w:vAlign w:val="center"/>
          </w:tcPr>
          <w:p w14:paraId="4FA6FA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0351</w:t>
            </w:r>
          </w:p>
        </w:tc>
        <w:tc>
          <w:tcPr>
            <w:tcW w:w="2413" w:type="dxa"/>
            <w:tcBorders>
              <w:top w:val="nil"/>
              <w:left w:val="nil"/>
              <w:bottom w:val="single" w:color="auto" w:sz="4" w:space="0"/>
              <w:right w:val="single" w:color="auto" w:sz="4" w:space="0"/>
            </w:tcBorders>
            <w:shd w:val="clear" w:color="auto" w:fill="auto"/>
            <w:noWrap/>
            <w:vAlign w:val="center"/>
          </w:tcPr>
          <w:p w14:paraId="71B58B9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法律</w:t>
            </w:r>
          </w:p>
        </w:tc>
        <w:tc>
          <w:tcPr>
            <w:tcW w:w="1160" w:type="dxa"/>
            <w:tcBorders>
              <w:top w:val="nil"/>
              <w:left w:val="nil"/>
              <w:bottom w:val="single" w:color="auto" w:sz="4" w:space="0"/>
              <w:right w:val="single" w:color="auto" w:sz="4" w:space="0"/>
            </w:tcBorders>
            <w:shd w:val="clear" w:color="auto" w:fill="auto"/>
            <w:noWrap/>
            <w:vAlign w:val="center"/>
          </w:tcPr>
          <w:p w14:paraId="5603F55D">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F35FD00">
            <w:pPr>
              <w:snapToGrid w:val="0"/>
              <w:jc w:val="center"/>
              <w:rPr>
                <w:rFonts w:hint="default" w:ascii="Times New Roman" w:hAnsi="Times New Roman" w:eastAsia="方正仿宋_GBK" w:cs="Times New Roman"/>
                <w:color w:val="000000"/>
                <w:sz w:val="28"/>
                <w:szCs w:val="32"/>
              </w:rPr>
            </w:pPr>
          </w:p>
        </w:tc>
      </w:tr>
      <w:tr w14:paraId="40DB79CA">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190BC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3 </w:t>
            </w:r>
          </w:p>
        </w:tc>
        <w:tc>
          <w:tcPr>
            <w:tcW w:w="1000" w:type="dxa"/>
            <w:tcBorders>
              <w:top w:val="nil"/>
              <w:left w:val="nil"/>
              <w:bottom w:val="single" w:color="auto" w:sz="4" w:space="0"/>
              <w:right w:val="single" w:color="auto" w:sz="4" w:space="0"/>
            </w:tcBorders>
            <w:shd w:val="clear" w:color="auto" w:fill="auto"/>
            <w:noWrap/>
            <w:vAlign w:val="center"/>
          </w:tcPr>
          <w:p w14:paraId="318A0F9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0453</w:t>
            </w:r>
          </w:p>
        </w:tc>
        <w:tc>
          <w:tcPr>
            <w:tcW w:w="2413" w:type="dxa"/>
            <w:tcBorders>
              <w:top w:val="nil"/>
              <w:left w:val="nil"/>
              <w:bottom w:val="single" w:color="auto" w:sz="4" w:space="0"/>
              <w:right w:val="single" w:color="auto" w:sz="4" w:space="0"/>
            </w:tcBorders>
            <w:shd w:val="clear" w:color="auto" w:fill="auto"/>
            <w:noWrap/>
            <w:vAlign w:val="center"/>
          </w:tcPr>
          <w:p w14:paraId="33899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国际</w:t>
            </w:r>
            <w:r>
              <w:rPr>
                <w:rFonts w:hint="eastAsia" w:ascii="Times New Roman" w:hAnsi="Times New Roman" w:eastAsia="方正仿宋_GBK" w:cs="Times New Roman"/>
                <w:color w:val="000000"/>
                <w:sz w:val="28"/>
                <w:szCs w:val="32"/>
                <w:lang w:val="en-US" w:eastAsia="zh-CN"/>
              </w:rPr>
              <w:t>中文</w:t>
            </w:r>
            <w:r>
              <w:rPr>
                <w:rFonts w:hint="default" w:ascii="Times New Roman" w:hAnsi="Times New Roman" w:eastAsia="方正仿宋_GBK" w:cs="Times New Roman"/>
                <w:color w:val="000000"/>
                <w:sz w:val="28"/>
                <w:szCs w:val="32"/>
              </w:rPr>
              <w:t>教育</w:t>
            </w:r>
          </w:p>
        </w:tc>
        <w:tc>
          <w:tcPr>
            <w:tcW w:w="1160" w:type="dxa"/>
            <w:tcBorders>
              <w:top w:val="nil"/>
              <w:left w:val="nil"/>
              <w:bottom w:val="single" w:color="auto" w:sz="4" w:space="0"/>
              <w:right w:val="single" w:color="auto" w:sz="4" w:space="0"/>
            </w:tcBorders>
            <w:shd w:val="clear" w:color="auto" w:fill="auto"/>
            <w:noWrap/>
            <w:vAlign w:val="center"/>
          </w:tcPr>
          <w:p w14:paraId="03CD489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254362C">
            <w:pPr>
              <w:snapToGrid w:val="0"/>
              <w:jc w:val="center"/>
              <w:rPr>
                <w:rFonts w:hint="default" w:ascii="Times New Roman" w:hAnsi="Times New Roman" w:eastAsia="方正仿宋_GBK" w:cs="Times New Roman"/>
                <w:color w:val="000000"/>
                <w:sz w:val="28"/>
                <w:szCs w:val="32"/>
              </w:rPr>
            </w:pPr>
          </w:p>
        </w:tc>
      </w:tr>
      <w:tr w14:paraId="105D52E9">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3BAD15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4 </w:t>
            </w:r>
          </w:p>
        </w:tc>
        <w:tc>
          <w:tcPr>
            <w:tcW w:w="1000" w:type="dxa"/>
            <w:tcBorders>
              <w:top w:val="nil"/>
              <w:left w:val="nil"/>
              <w:bottom w:val="single" w:color="auto" w:sz="4" w:space="0"/>
              <w:right w:val="single" w:color="auto" w:sz="4" w:space="0"/>
            </w:tcBorders>
            <w:shd w:val="clear" w:color="auto" w:fill="auto"/>
            <w:noWrap/>
            <w:vAlign w:val="center"/>
          </w:tcPr>
          <w:p w14:paraId="5A2A41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0551</w:t>
            </w:r>
          </w:p>
        </w:tc>
        <w:tc>
          <w:tcPr>
            <w:tcW w:w="2413" w:type="dxa"/>
            <w:tcBorders>
              <w:top w:val="nil"/>
              <w:left w:val="nil"/>
              <w:bottom w:val="single" w:color="auto" w:sz="4" w:space="0"/>
              <w:right w:val="single" w:color="auto" w:sz="4" w:space="0"/>
            </w:tcBorders>
            <w:shd w:val="clear" w:color="auto" w:fill="auto"/>
            <w:noWrap/>
            <w:vAlign w:val="center"/>
          </w:tcPr>
          <w:p w14:paraId="02455A8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翻译</w:t>
            </w:r>
          </w:p>
        </w:tc>
        <w:tc>
          <w:tcPr>
            <w:tcW w:w="1160" w:type="dxa"/>
            <w:tcBorders>
              <w:top w:val="nil"/>
              <w:left w:val="nil"/>
              <w:bottom w:val="single" w:color="auto" w:sz="4" w:space="0"/>
              <w:right w:val="single" w:color="auto" w:sz="4" w:space="0"/>
            </w:tcBorders>
            <w:shd w:val="clear" w:color="auto" w:fill="auto"/>
            <w:noWrap/>
            <w:vAlign w:val="center"/>
          </w:tcPr>
          <w:p w14:paraId="103C8931">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540F818">
            <w:pPr>
              <w:snapToGrid w:val="0"/>
              <w:jc w:val="center"/>
              <w:rPr>
                <w:rFonts w:hint="default" w:ascii="Times New Roman" w:hAnsi="Times New Roman" w:eastAsia="方正仿宋_GBK" w:cs="Times New Roman"/>
                <w:color w:val="000000"/>
                <w:sz w:val="28"/>
                <w:szCs w:val="32"/>
              </w:rPr>
            </w:pPr>
          </w:p>
        </w:tc>
      </w:tr>
      <w:tr w14:paraId="2D080D3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2EE6C1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5 </w:t>
            </w:r>
          </w:p>
        </w:tc>
        <w:tc>
          <w:tcPr>
            <w:tcW w:w="1000" w:type="dxa"/>
            <w:tcBorders>
              <w:top w:val="nil"/>
              <w:left w:val="nil"/>
              <w:bottom w:val="single" w:color="auto" w:sz="4" w:space="0"/>
              <w:right w:val="single" w:color="auto" w:sz="4" w:space="0"/>
            </w:tcBorders>
            <w:shd w:val="clear" w:color="auto" w:fill="auto"/>
            <w:noWrap/>
            <w:vAlign w:val="center"/>
          </w:tcPr>
          <w:p w14:paraId="0E258AC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0855</w:t>
            </w:r>
          </w:p>
        </w:tc>
        <w:tc>
          <w:tcPr>
            <w:tcW w:w="2413" w:type="dxa"/>
            <w:tcBorders>
              <w:top w:val="nil"/>
              <w:left w:val="nil"/>
              <w:bottom w:val="single" w:color="auto" w:sz="4" w:space="0"/>
              <w:right w:val="single" w:color="auto" w:sz="4" w:space="0"/>
            </w:tcBorders>
            <w:shd w:val="clear" w:color="auto" w:fill="auto"/>
            <w:noWrap/>
            <w:vAlign w:val="center"/>
          </w:tcPr>
          <w:p w14:paraId="676684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w:t>
            </w:r>
          </w:p>
        </w:tc>
        <w:tc>
          <w:tcPr>
            <w:tcW w:w="1160" w:type="dxa"/>
            <w:tcBorders>
              <w:top w:val="nil"/>
              <w:left w:val="nil"/>
              <w:bottom w:val="single" w:color="auto" w:sz="4" w:space="0"/>
              <w:right w:val="single" w:color="auto" w:sz="4" w:space="0"/>
            </w:tcBorders>
            <w:shd w:val="clear" w:color="auto" w:fill="auto"/>
            <w:noWrap/>
            <w:vAlign w:val="center"/>
          </w:tcPr>
          <w:p w14:paraId="747E6888">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3E1C93BE">
            <w:pPr>
              <w:snapToGrid w:val="0"/>
              <w:jc w:val="center"/>
              <w:rPr>
                <w:rFonts w:hint="default" w:ascii="Times New Roman" w:hAnsi="Times New Roman" w:eastAsia="方正仿宋_GBK" w:cs="Times New Roman"/>
                <w:color w:val="000000"/>
                <w:sz w:val="28"/>
                <w:szCs w:val="32"/>
              </w:rPr>
            </w:pPr>
          </w:p>
        </w:tc>
      </w:tr>
      <w:tr w14:paraId="05CEDB05">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C9379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6 </w:t>
            </w:r>
          </w:p>
        </w:tc>
        <w:tc>
          <w:tcPr>
            <w:tcW w:w="1000" w:type="dxa"/>
            <w:tcBorders>
              <w:top w:val="nil"/>
              <w:left w:val="nil"/>
              <w:bottom w:val="single" w:color="auto" w:sz="4" w:space="0"/>
              <w:right w:val="single" w:color="auto" w:sz="4" w:space="0"/>
            </w:tcBorders>
            <w:shd w:val="clear" w:color="auto" w:fill="auto"/>
            <w:noWrap/>
            <w:vAlign w:val="center"/>
          </w:tcPr>
          <w:p w14:paraId="7F128E5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0856</w:t>
            </w:r>
          </w:p>
        </w:tc>
        <w:tc>
          <w:tcPr>
            <w:tcW w:w="2413" w:type="dxa"/>
            <w:tcBorders>
              <w:top w:val="nil"/>
              <w:left w:val="nil"/>
              <w:bottom w:val="single" w:color="auto" w:sz="4" w:space="0"/>
              <w:right w:val="single" w:color="auto" w:sz="4" w:space="0"/>
            </w:tcBorders>
            <w:shd w:val="clear" w:color="auto" w:fill="auto"/>
            <w:noWrap/>
            <w:vAlign w:val="center"/>
          </w:tcPr>
          <w:p w14:paraId="0402A28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材料与化工</w:t>
            </w:r>
          </w:p>
        </w:tc>
        <w:tc>
          <w:tcPr>
            <w:tcW w:w="1160" w:type="dxa"/>
            <w:tcBorders>
              <w:top w:val="nil"/>
              <w:left w:val="nil"/>
              <w:bottom w:val="single" w:color="auto" w:sz="4" w:space="0"/>
              <w:right w:val="single" w:color="auto" w:sz="4" w:space="0"/>
            </w:tcBorders>
            <w:shd w:val="clear" w:color="auto" w:fill="auto"/>
            <w:noWrap/>
            <w:vAlign w:val="center"/>
          </w:tcPr>
          <w:p w14:paraId="54883B2C">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7ABEF05">
            <w:pPr>
              <w:snapToGrid w:val="0"/>
              <w:jc w:val="center"/>
              <w:rPr>
                <w:rFonts w:hint="default" w:ascii="Times New Roman" w:hAnsi="Times New Roman" w:eastAsia="方正仿宋_GBK" w:cs="Times New Roman"/>
                <w:color w:val="000000"/>
                <w:sz w:val="28"/>
                <w:szCs w:val="32"/>
              </w:rPr>
            </w:pPr>
          </w:p>
        </w:tc>
      </w:tr>
      <w:tr w14:paraId="1F79B618">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24A06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7 </w:t>
            </w:r>
          </w:p>
        </w:tc>
        <w:tc>
          <w:tcPr>
            <w:tcW w:w="1000" w:type="dxa"/>
            <w:tcBorders>
              <w:top w:val="nil"/>
              <w:left w:val="nil"/>
              <w:bottom w:val="single" w:color="auto" w:sz="4" w:space="0"/>
              <w:right w:val="single" w:color="auto" w:sz="4" w:space="0"/>
            </w:tcBorders>
            <w:shd w:val="clear" w:color="auto" w:fill="auto"/>
            <w:noWrap/>
            <w:vAlign w:val="center"/>
          </w:tcPr>
          <w:p w14:paraId="2EFB97B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0857</w:t>
            </w:r>
          </w:p>
        </w:tc>
        <w:tc>
          <w:tcPr>
            <w:tcW w:w="2413" w:type="dxa"/>
            <w:tcBorders>
              <w:top w:val="nil"/>
              <w:left w:val="nil"/>
              <w:bottom w:val="single" w:color="auto" w:sz="4" w:space="0"/>
              <w:right w:val="single" w:color="auto" w:sz="4" w:space="0"/>
            </w:tcBorders>
            <w:shd w:val="clear" w:color="auto" w:fill="auto"/>
            <w:noWrap/>
            <w:vAlign w:val="center"/>
          </w:tcPr>
          <w:p w14:paraId="06A00A0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资源与环境</w:t>
            </w:r>
          </w:p>
        </w:tc>
        <w:tc>
          <w:tcPr>
            <w:tcW w:w="1160" w:type="dxa"/>
            <w:tcBorders>
              <w:top w:val="nil"/>
              <w:left w:val="nil"/>
              <w:bottom w:val="single" w:color="auto" w:sz="4" w:space="0"/>
              <w:right w:val="single" w:color="auto" w:sz="4" w:space="0"/>
            </w:tcBorders>
            <w:shd w:val="clear" w:color="auto" w:fill="auto"/>
            <w:noWrap/>
            <w:vAlign w:val="center"/>
          </w:tcPr>
          <w:p w14:paraId="7EC31AD0">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FA8C777">
            <w:pPr>
              <w:snapToGrid w:val="0"/>
              <w:jc w:val="center"/>
              <w:rPr>
                <w:rFonts w:hint="default" w:ascii="Times New Roman" w:hAnsi="Times New Roman" w:eastAsia="方正仿宋_GBK" w:cs="Times New Roman"/>
                <w:color w:val="000000"/>
                <w:sz w:val="28"/>
                <w:szCs w:val="32"/>
              </w:rPr>
            </w:pPr>
          </w:p>
        </w:tc>
      </w:tr>
      <w:tr w14:paraId="3A7FF49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33E7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8 </w:t>
            </w:r>
          </w:p>
        </w:tc>
        <w:tc>
          <w:tcPr>
            <w:tcW w:w="1000" w:type="dxa"/>
            <w:tcBorders>
              <w:top w:val="nil"/>
              <w:left w:val="nil"/>
              <w:bottom w:val="single" w:color="auto" w:sz="4" w:space="0"/>
              <w:right w:val="single" w:color="auto" w:sz="4" w:space="0"/>
            </w:tcBorders>
            <w:shd w:val="clear" w:color="auto" w:fill="auto"/>
            <w:noWrap/>
            <w:vAlign w:val="center"/>
          </w:tcPr>
          <w:p w14:paraId="180BB1A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0859</w:t>
            </w:r>
          </w:p>
        </w:tc>
        <w:tc>
          <w:tcPr>
            <w:tcW w:w="2413" w:type="dxa"/>
            <w:tcBorders>
              <w:top w:val="nil"/>
              <w:left w:val="nil"/>
              <w:bottom w:val="single" w:color="auto" w:sz="4" w:space="0"/>
              <w:right w:val="single" w:color="auto" w:sz="4" w:space="0"/>
            </w:tcBorders>
            <w:shd w:val="clear" w:color="auto" w:fill="auto"/>
            <w:noWrap/>
            <w:vAlign w:val="center"/>
          </w:tcPr>
          <w:p w14:paraId="368EC3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土木水利</w:t>
            </w:r>
          </w:p>
        </w:tc>
        <w:tc>
          <w:tcPr>
            <w:tcW w:w="1160" w:type="dxa"/>
            <w:tcBorders>
              <w:top w:val="nil"/>
              <w:left w:val="nil"/>
              <w:bottom w:val="single" w:color="auto" w:sz="4" w:space="0"/>
              <w:right w:val="single" w:color="auto" w:sz="4" w:space="0"/>
            </w:tcBorders>
            <w:shd w:val="clear" w:color="auto" w:fill="auto"/>
            <w:noWrap/>
            <w:vAlign w:val="center"/>
          </w:tcPr>
          <w:p w14:paraId="19A0B3A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1FCF66E1">
            <w:pPr>
              <w:snapToGrid w:val="0"/>
              <w:jc w:val="center"/>
              <w:rPr>
                <w:rFonts w:hint="default" w:ascii="Times New Roman" w:hAnsi="Times New Roman" w:eastAsia="方正仿宋_GBK" w:cs="Times New Roman"/>
                <w:color w:val="000000"/>
                <w:sz w:val="28"/>
                <w:szCs w:val="32"/>
              </w:rPr>
            </w:pPr>
          </w:p>
        </w:tc>
      </w:tr>
      <w:tr w14:paraId="59B8B7E7">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EBF0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9 </w:t>
            </w:r>
          </w:p>
        </w:tc>
        <w:tc>
          <w:tcPr>
            <w:tcW w:w="1000" w:type="dxa"/>
            <w:tcBorders>
              <w:top w:val="nil"/>
              <w:left w:val="nil"/>
              <w:bottom w:val="single" w:color="auto" w:sz="4" w:space="0"/>
              <w:right w:val="single" w:color="auto" w:sz="4" w:space="0"/>
            </w:tcBorders>
            <w:shd w:val="clear" w:color="auto" w:fill="auto"/>
            <w:noWrap/>
            <w:vAlign w:val="center"/>
          </w:tcPr>
          <w:p w14:paraId="52BBDBA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0861</w:t>
            </w:r>
          </w:p>
        </w:tc>
        <w:tc>
          <w:tcPr>
            <w:tcW w:w="2413" w:type="dxa"/>
            <w:tcBorders>
              <w:top w:val="nil"/>
              <w:left w:val="nil"/>
              <w:bottom w:val="single" w:color="auto" w:sz="4" w:space="0"/>
              <w:right w:val="single" w:color="auto" w:sz="4" w:space="0"/>
            </w:tcBorders>
            <w:shd w:val="clear" w:color="auto" w:fill="auto"/>
            <w:noWrap/>
            <w:vAlign w:val="center"/>
          </w:tcPr>
          <w:p w14:paraId="2C40ECB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交通运输</w:t>
            </w:r>
          </w:p>
        </w:tc>
        <w:tc>
          <w:tcPr>
            <w:tcW w:w="1160" w:type="dxa"/>
            <w:tcBorders>
              <w:top w:val="nil"/>
              <w:left w:val="nil"/>
              <w:bottom w:val="single" w:color="auto" w:sz="4" w:space="0"/>
              <w:right w:val="single" w:color="auto" w:sz="4" w:space="0"/>
            </w:tcBorders>
            <w:shd w:val="clear" w:color="auto" w:fill="auto"/>
            <w:noWrap/>
            <w:vAlign w:val="center"/>
          </w:tcPr>
          <w:p w14:paraId="4137AE79">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2522559">
            <w:pPr>
              <w:snapToGrid w:val="0"/>
              <w:jc w:val="center"/>
              <w:rPr>
                <w:rFonts w:hint="default" w:ascii="Times New Roman" w:hAnsi="Times New Roman" w:eastAsia="方正仿宋_GBK" w:cs="Times New Roman"/>
                <w:color w:val="000000"/>
                <w:sz w:val="28"/>
                <w:szCs w:val="32"/>
              </w:rPr>
            </w:pPr>
          </w:p>
        </w:tc>
      </w:tr>
      <w:tr w14:paraId="07278FDD">
        <w:tblPrEx>
          <w:tblCellMar>
            <w:top w:w="0" w:type="dxa"/>
            <w:left w:w="108" w:type="dxa"/>
            <w:bottom w:w="0" w:type="dxa"/>
            <w:right w:w="108" w:type="dxa"/>
          </w:tblCellMar>
        </w:tblPrEx>
        <w:trPr>
          <w:trHeight w:val="348"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14:paraId="336254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2DF8EB5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0951</w:t>
            </w:r>
          </w:p>
        </w:tc>
        <w:tc>
          <w:tcPr>
            <w:tcW w:w="2413" w:type="dxa"/>
            <w:vMerge w:val="restart"/>
            <w:tcBorders>
              <w:top w:val="nil"/>
              <w:left w:val="single" w:color="auto" w:sz="4" w:space="0"/>
              <w:bottom w:val="single" w:color="auto" w:sz="4" w:space="0"/>
              <w:right w:val="single" w:color="auto" w:sz="4" w:space="0"/>
            </w:tcBorders>
            <w:shd w:val="clear" w:color="auto" w:fill="auto"/>
            <w:noWrap/>
            <w:vAlign w:val="center"/>
          </w:tcPr>
          <w:p w14:paraId="22D69D9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w:t>
            </w:r>
          </w:p>
        </w:tc>
        <w:tc>
          <w:tcPr>
            <w:tcW w:w="1160" w:type="dxa"/>
            <w:tcBorders>
              <w:top w:val="nil"/>
              <w:left w:val="nil"/>
              <w:bottom w:val="single" w:color="auto" w:sz="4" w:space="0"/>
              <w:right w:val="single" w:color="auto" w:sz="4" w:space="0"/>
            </w:tcBorders>
            <w:shd w:val="clear" w:color="auto" w:fill="auto"/>
            <w:noWrap/>
            <w:vAlign w:val="center"/>
          </w:tcPr>
          <w:p w14:paraId="2ACBE4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095131 </w:t>
            </w:r>
          </w:p>
        </w:tc>
        <w:tc>
          <w:tcPr>
            <w:tcW w:w="2976" w:type="dxa"/>
            <w:tcBorders>
              <w:top w:val="nil"/>
              <w:left w:val="nil"/>
              <w:bottom w:val="single" w:color="auto" w:sz="4" w:space="0"/>
              <w:right w:val="single" w:color="auto" w:sz="4" w:space="0"/>
            </w:tcBorders>
            <w:shd w:val="clear" w:color="auto" w:fill="auto"/>
            <w:noWrap/>
            <w:vAlign w:val="center"/>
          </w:tcPr>
          <w:p w14:paraId="222CB03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农艺与种业</w:t>
            </w:r>
          </w:p>
        </w:tc>
      </w:tr>
      <w:tr w14:paraId="310F2311">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012F7F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617951F2">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41A7407B">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BE7D52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095132 </w:t>
            </w:r>
          </w:p>
        </w:tc>
        <w:tc>
          <w:tcPr>
            <w:tcW w:w="2976" w:type="dxa"/>
            <w:tcBorders>
              <w:top w:val="nil"/>
              <w:left w:val="nil"/>
              <w:bottom w:val="single" w:color="auto" w:sz="4" w:space="0"/>
              <w:right w:val="single" w:color="auto" w:sz="4" w:space="0"/>
            </w:tcBorders>
            <w:shd w:val="clear" w:color="auto" w:fill="auto"/>
            <w:noWrap/>
            <w:vAlign w:val="center"/>
          </w:tcPr>
          <w:p w14:paraId="4D8F9C7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资源利用与植物保护</w:t>
            </w:r>
          </w:p>
        </w:tc>
      </w:tr>
      <w:tr w14:paraId="0C3FF326">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1EA2B3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0567C2E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73F4BF36">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92CC4E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095135 </w:t>
            </w:r>
          </w:p>
        </w:tc>
        <w:tc>
          <w:tcPr>
            <w:tcW w:w="2976" w:type="dxa"/>
            <w:tcBorders>
              <w:top w:val="nil"/>
              <w:left w:val="nil"/>
              <w:bottom w:val="single" w:color="auto" w:sz="4" w:space="0"/>
              <w:right w:val="single" w:color="auto" w:sz="4" w:space="0"/>
            </w:tcBorders>
            <w:shd w:val="clear" w:color="auto" w:fill="auto"/>
            <w:noWrap/>
            <w:vAlign w:val="center"/>
          </w:tcPr>
          <w:p w14:paraId="510A06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食品加工与安全</w:t>
            </w:r>
          </w:p>
        </w:tc>
      </w:tr>
      <w:tr w14:paraId="4A1D4D9D">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8E4F9FD">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6AF5A6E">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EF1D258">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620F56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095136 </w:t>
            </w:r>
          </w:p>
        </w:tc>
        <w:tc>
          <w:tcPr>
            <w:tcW w:w="2976" w:type="dxa"/>
            <w:tcBorders>
              <w:top w:val="nil"/>
              <w:left w:val="nil"/>
              <w:bottom w:val="single" w:color="auto" w:sz="4" w:space="0"/>
              <w:right w:val="single" w:color="auto" w:sz="4" w:space="0"/>
            </w:tcBorders>
            <w:shd w:val="clear" w:color="auto" w:fill="auto"/>
            <w:noWrap/>
            <w:vAlign w:val="center"/>
          </w:tcPr>
          <w:p w14:paraId="215CDE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农业工程与信息技术</w:t>
            </w:r>
          </w:p>
        </w:tc>
      </w:tr>
      <w:tr w14:paraId="00779B8C">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7BC6BC1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2497B204">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BB78E25">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791F3F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095137 </w:t>
            </w:r>
          </w:p>
        </w:tc>
        <w:tc>
          <w:tcPr>
            <w:tcW w:w="2976" w:type="dxa"/>
            <w:tcBorders>
              <w:top w:val="nil"/>
              <w:left w:val="nil"/>
              <w:bottom w:val="single" w:color="auto" w:sz="4" w:space="0"/>
              <w:right w:val="single" w:color="auto" w:sz="4" w:space="0"/>
            </w:tcBorders>
            <w:shd w:val="clear" w:color="auto" w:fill="auto"/>
            <w:noWrap/>
            <w:vAlign w:val="center"/>
          </w:tcPr>
          <w:p w14:paraId="4F9B9D2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农业管理</w:t>
            </w:r>
          </w:p>
        </w:tc>
      </w:tr>
      <w:tr w14:paraId="3120490A">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263EE8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80B970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18862667">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A44B12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095138 </w:t>
            </w:r>
          </w:p>
        </w:tc>
        <w:tc>
          <w:tcPr>
            <w:tcW w:w="2976" w:type="dxa"/>
            <w:tcBorders>
              <w:top w:val="nil"/>
              <w:left w:val="nil"/>
              <w:bottom w:val="single" w:color="auto" w:sz="4" w:space="0"/>
              <w:right w:val="single" w:color="auto" w:sz="4" w:space="0"/>
            </w:tcBorders>
            <w:shd w:val="clear" w:color="auto" w:fill="auto"/>
            <w:noWrap/>
            <w:vAlign w:val="center"/>
          </w:tcPr>
          <w:p w14:paraId="1879F9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农村发展</w:t>
            </w:r>
          </w:p>
        </w:tc>
      </w:tr>
      <w:tr w14:paraId="765402E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CCAA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11 </w:t>
            </w:r>
          </w:p>
        </w:tc>
        <w:tc>
          <w:tcPr>
            <w:tcW w:w="1000" w:type="dxa"/>
            <w:tcBorders>
              <w:top w:val="nil"/>
              <w:left w:val="nil"/>
              <w:bottom w:val="single" w:color="auto" w:sz="4" w:space="0"/>
              <w:right w:val="single" w:color="auto" w:sz="4" w:space="0"/>
            </w:tcBorders>
            <w:shd w:val="clear" w:color="auto" w:fill="auto"/>
            <w:noWrap/>
            <w:vAlign w:val="center"/>
          </w:tcPr>
          <w:p w14:paraId="168BFD8D">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0</w:t>
            </w:r>
            <w:r>
              <w:rPr>
                <w:rFonts w:hint="default" w:ascii="Times New Roman" w:hAnsi="Times New Roman" w:eastAsia="方正仿宋_GBK" w:cs="Times New Roman"/>
                <w:color w:val="000000"/>
                <w:sz w:val="28"/>
                <w:szCs w:val="32"/>
                <w:lang w:val="en-US" w:eastAsia="zh-CN"/>
              </w:rPr>
              <w:t>862</w:t>
            </w:r>
          </w:p>
        </w:tc>
        <w:tc>
          <w:tcPr>
            <w:tcW w:w="2413" w:type="dxa"/>
            <w:tcBorders>
              <w:top w:val="nil"/>
              <w:left w:val="nil"/>
              <w:bottom w:val="single" w:color="auto" w:sz="4" w:space="0"/>
              <w:right w:val="single" w:color="auto" w:sz="4" w:space="0"/>
            </w:tcBorders>
            <w:shd w:val="clear" w:color="auto" w:fill="auto"/>
            <w:noWrap/>
            <w:vAlign w:val="center"/>
          </w:tcPr>
          <w:p w14:paraId="451E7F9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w:t>
            </w:r>
          </w:p>
        </w:tc>
        <w:tc>
          <w:tcPr>
            <w:tcW w:w="1160" w:type="dxa"/>
            <w:tcBorders>
              <w:top w:val="nil"/>
              <w:left w:val="nil"/>
              <w:bottom w:val="single" w:color="auto" w:sz="4" w:space="0"/>
              <w:right w:val="single" w:color="auto" w:sz="4" w:space="0"/>
            </w:tcBorders>
            <w:shd w:val="clear" w:color="auto" w:fill="auto"/>
            <w:noWrap/>
            <w:vAlign w:val="center"/>
          </w:tcPr>
          <w:p w14:paraId="31AD223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F3EFC8D">
            <w:pPr>
              <w:snapToGrid w:val="0"/>
              <w:jc w:val="center"/>
              <w:rPr>
                <w:rFonts w:hint="default" w:ascii="Times New Roman" w:hAnsi="Times New Roman" w:eastAsia="方正仿宋_GBK" w:cs="Times New Roman"/>
                <w:color w:val="000000"/>
                <w:sz w:val="28"/>
                <w:szCs w:val="32"/>
              </w:rPr>
            </w:pPr>
          </w:p>
        </w:tc>
      </w:tr>
      <w:tr w14:paraId="1B1E90B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5ED803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 </w:t>
            </w:r>
          </w:p>
        </w:tc>
        <w:tc>
          <w:tcPr>
            <w:tcW w:w="1000" w:type="dxa"/>
            <w:tcBorders>
              <w:top w:val="nil"/>
              <w:left w:val="nil"/>
              <w:bottom w:val="single" w:color="auto" w:sz="4" w:space="0"/>
              <w:right w:val="single" w:color="auto" w:sz="4" w:space="0"/>
            </w:tcBorders>
            <w:shd w:val="clear" w:color="auto" w:fill="auto"/>
            <w:noWrap/>
            <w:vAlign w:val="center"/>
          </w:tcPr>
          <w:p w14:paraId="3536FBF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0954</w:t>
            </w:r>
          </w:p>
        </w:tc>
        <w:tc>
          <w:tcPr>
            <w:tcW w:w="2413" w:type="dxa"/>
            <w:tcBorders>
              <w:top w:val="nil"/>
              <w:left w:val="nil"/>
              <w:bottom w:val="single" w:color="auto" w:sz="4" w:space="0"/>
              <w:right w:val="single" w:color="auto" w:sz="4" w:space="0"/>
            </w:tcBorders>
            <w:shd w:val="clear" w:color="auto" w:fill="auto"/>
            <w:noWrap/>
            <w:vAlign w:val="center"/>
          </w:tcPr>
          <w:p w14:paraId="2AFCF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w:t>
            </w:r>
          </w:p>
        </w:tc>
        <w:tc>
          <w:tcPr>
            <w:tcW w:w="1160" w:type="dxa"/>
            <w:tcBorders>
              <w:top w:val="nil"/>
              <w:left w:val="nil"/>
              <w:bottom w:val="single" w:color="auto" w:sz="4" w:space="0"/>
              <w:right w:val="single" w:color="auto" w:sz="4" w:space="0"/>
            </w:tcBorders>
            <w:shd w:val="clear" w:color="auto" w:fill="auto"/>
            <w:noWrap/>
            <w:vAlign w:val="center"/>
          </w:tcPr>
          <w:p w14:paraId="488E6895">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FF2042F">
            <w:pPr>
              <w:snapToGrid w:val="0"/>
              <w:jc w:val="center"/>
              <w:rPr>
                <w:rFonts w:hint="default" w:ascii="Times New Roman" w:hAnsi="Times New Roman" w:eastAsia="方正仿宋_GBK" w:cs="Times New Roman"/>
                <w:color w:val="000000"/>
                <w:sz w:val="28"/>
                <w:szCs w:val="32"/>
              </w:rPr>
            </w:pPr>
          </w:p>
        </w:tc>
      </w:tr>
      <w:tr w14:paraId="695457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18841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13 </w:t>
            </w:r>
          </w:p>
        </w:tc>
        <w:tc>
          <w:tcPr>
            <w:tcW w:w="1000" w:type="dxa"/>
            <w:tcBorders>
              <w:top w:val="nil"/>
              <w:left w:val="nil"/>
              <w:bottom w:val="single" w:color="auto" w:sz="4" w:space="0"/>
              <w:right w:val="single" w:color="auto" w:sz="4" w:space="0"/>
            </w:tcBorders>
            <w:shd w:val="clear" w:color="auto" w:fill="auto"/>
            <w:noWrap/>
            <w:vAlign w:val="center"/>
          </w:tcPr>
          <w:p w14:paraId="77D7BB2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1252</w:t>
            </w:r>
          </w:p>
        </w:tc>
        <w:tc>
          <w:tcPr>
            <w:tcW w:w="2413" w:type="dxa"/>
            <w:tcBorders>
              <w:top w:val="nil"/>
              <w:left w:val="nil"/>
              <w:bottom w:val="single" w:color="auto" w:sz="4" w:space="0"/>
              <w:right w:val="single" w:color="auto" w:sz="4" w:space="0"/>
            </w:tcBorders>
            <w:shd w:val="clear" w:color="auto" w:fill="auto"/>
            <w:noWrap/>
            <w:vAlign w:val="center"/>
          </w:tcPr>
          <w:p w14:paraId="64D700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公共管理</w:t>
            </w:r>
          </w:p>
        </w:tc>
        <w:tc>
          <w:tcPr>
            <w:tcW w:w="1160" w:type="dxa"/>
            <w:tcBorders>
              <w:top w:val="nil"/>
              <w:left w:val="nil"/>
              <w:bottom w:val="single" w:color="auto" w:sz="4" w:space="0"/>
              <w:right w:val="single" w:color="auto" w:sz="4" w:space="0"/>
            </w:tcBorders>
            <w:shd w:val="clear" w:color="auto" w:fill="auto"/>
            <w:noWrap/>
            <w:vAlign w:val="center"/>
          </w:tcPr>
          <w:p w14:paraId="6807673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5E6587B">
            <w:pPr>
              <w:snapToGrid w:val="0"/>
              <w:jc w:val="center"/>
              <w:rPr>
                <w:rFonts w:hint="default" w:ascii="Times New Roman" w:hAnsi="Times New Roman" w:eastAsia="方正仿宋_GBK" w:cs="Times New Roman"/>
                <w:color w:val="000000"/>
                <w:sz w:val="28"/>
                <w:szCs w:val="32"/>
              </w:rPr>
            </w:pPr>
          </w:p>
        </w:tc>
      </w:tr>
      <w:tr w14:paraId="1F5ECA4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0BCFBD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14 </w:t>
            </w:r>
          </w:p>
        </w:tc>
        <w:tc>
          <w:tcPr>
            <w:tcW w:w="1000" w:type="dxa"/>
            <w:tcBorders>
              <w:top w:val="nil"/>
              <w:left w:val="nil"/>
              <w:bottom w:val="single" w:color="auto" w:sz="4" w:space="0"/>
              <w:right w:val="single" w:color="auto" w:sz="4" w:space="0"/>
            </w:tcBorders>
            <w:shd w:val="clear" w:color="auto" w:fill="auto"/>
            <w:noWrap/>
            <w:vAlign w:val="center"/>
          </w:tcPr>
          <w:p w14:paraId="5F8D2D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1254</w:t>
            </w:r>
          </w:p>
        </w:tc>
        <w:tc>
          <w:tcPr>
            <w:tcW w:w="2413" w:type="dxa"/>
            <w:tcBorders>
              <w:top w:val="nil"/>
              <w:left w:val="nil"/>
              <w:bottom w:val="single" w:color="auto" w:sz="4" w:space="0"/>
              <w:right w:val="single" w:color="auto" w:sz="4" w:space="0"/>
            </w:tcBorders>
            <w:shd w:val="clear" w:color="auto" w:fill="auto"/>
            <w:noWrap/>
            <w:vAlign w:val="center"/>
          </w:tcPr>
          <w:p w14:paraId="380370D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旅游管理</w:t>
            </w:r>
          </w:p>
        </w:tc>
        <w:tc>
          <w:tcPr>
            <w:tcW w:w="1160" w:type="dxa"/>
            <w:tcBorders>
              <w:top w:val="nil"/>
              <w:left w:val="nil"/>
              <w:bottom w:val="single" w:color="auto" w:sz="4" w:space="0"/>
              <w:right w:val="single" w:color="auto" w:sz="4" w:space="0"/>
            </w:tcBorders>
            <w:shd w:val="clear" w:color="auto" w:fill="auto"/>
            <w:noWrap/>
            <w:vAlign w:val="center"/>
          </w:tcPr>
          <w:p w14:paraId="193D854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C111C96">
            <w:pPr>
              <w:snapToGrid w:val="0"/>
              <w:jc w:val="center"/>
              <w:rPr>
                <w:rFonts w:hint="default" w:ascii="Times New Roman" w:hAnsi="Times New Roman" w:eastAsia="方正仿宋_GBK" w:cs="Times New Roman"/>
                <w:color w:val="000000"/>
                <w:sz w:val="28"/>
                <w:szCs w:val="32"/>
              </w:rPr>
            </w:pPr>
          </w:p>
        </w:tc>
      </w:tr>
      <w:tr w14:paraId="5EE517C1">
        <w:tblPrEx>
          <w:tblCellMar>
            <w:top w:w="0" w:type="dxa"/>
            <w:left w:w="108" w:type="dxa"/>
            <w:bottom w:w="0" w:type="dxa"/>
            <w:right w:w="108" w:type="dxa"/>
          </w:tblCellMar>
        </w:tblPrEx>
        <w:trPr>
          <w:trHeight w:val="348"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9C40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15 </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85E75">
            <w:pPr>
              <w:snapToGrid w:val="0"/>
              <w:jc w:val="center"/>
              <w:rPr>
                <w:rFonts w:hint="eastAsia"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135</w:t>
            </w:r>
            <w:r>
              <w:rPr>
                <w:rFonts w:hint="eastAsia" w:ascii="Times New Roman" w:hAnsi="Times New Roman" w:eastAsia="方正仿宋_GBK" w:cs="Times New Roman"/>
                <w:color w:val="000000"/>
                <w:sz w:val="28"/>
                <w:szCs w:val="32"/>
                <w:lang w:val="en-US" w:eastAsia="zh-CN"/>
              </w:rPr>
              <w:t>7</w:t>
            </w:r>
          </w:p>
        </w:tc>
        <w:tc>
          <w:tcPr>
            <w:tcW w:w="2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16EE5">
            <w:pPr>
              <w:snapToGrid w:val="0"/>
              <w:jc w:val="center"/>
              <w:rPr>
                <w:rFonts w:hint="default" w:ascii="Times New Roman" w:hAnsi="Times New Roman" w:eastAsia="方正仿宋_GBK" w:cs="Times New Roman"/>
                <w:color w:val="000000"/>
                <w:sz w:val="28"/>
                <w:szCs w:val="32"/>
                <w:lang w:val="en-US" w:eastAsia="zh-CN"/>
              </w:rPr>
            </w:pPr>
            <w:r>
              <w:rPr>
                <w:rFonts w:hint="eastAsia" w:ascii="Times New Roman" w:hAnsi="Times New Roman" w:eastAsia="方正仿宋_GBK" w:cs="Times New Roman"/>
                <w:color w:val="000000"/>
                <w:sz w:val="28"/>
                <w:szCs w:val="32"/>
                <w:lang w:val="en-US" w:eastAsia="zh-CN"/>
              </w:rPr>
              <w:t>设计</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8A34B">
            <w:pPr>
              <w:snapToGrid w:val="0"/>
              <w:jc w:val="center"/>
              <w:rPr>
                <w:rFonts w:hint="default" w:ascii="Times New Roman" w:hAnsi="Times New Roman" w:eastAsia="方正仿宋_GBK" w:cs="Times New Roman"/>
                <w:color w:val="000000"/>
                <w:sz w:val="28"/>
                <w:szCs w:val="32"/>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FACE2">
            <w:pPr>
              <w:snapToGrid w:val="0"/>
              <w:jc w:val="center"/>
              <w:rPr>
                <w:rFonts w:hint="default" w:ascii="Times New Roman" w:hAnsi="Times New Roman" w:eastAsia="方正仿宋_GBK" w:cs="Times New Roman"/>
                <w:color w:val="000000"/>
                <w:sz w:val="28"/>
                <w:szCs w:val="32"/>
              </w:rPr>
            </w:pPr>
          </w:p>
        </w:tc>
      </w:tr>
      <w:tr w14:paraId="11BC8A3C">
        <w:tblPrEx>
          <w:tblCellMar>
            <w:top w:w="0" w:type="dxa"/>
            <w:left w:w="108" w:type="dxa"/>
            <w:bottom w:w="0" w:type="dxa"/>
            <w:right w:w="108" w:type="dxa"/>
          </w:tblCellMar>
        </w:tblPrEx>
        <w:trPr>
          <w:trHeight w:val="348"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3643C">
            <w:pPr>
              <w:snapToGrid w:val="0"/>
              <w:jc w:val="center"/>
              <w:rPr>
                <w:rFonts w:hint="default" w:ascii="Times New Roman" w:hAnsi="Times New Roman" w:eastAsia="方正仿宋_GBK" w:cs="Times New Roman"/>
                <w:color w:val="000000"/>
                <w:sz w:val="28"/>
                <w:szCs w:val="32"/>
                <w:lang w:val="en-US" w:eastAsia="zh-CN"/>
              </w:rPr>
            </w:pPr>
            <w:r>
              <w:rPr>
                <w:rFonts w:hint="eastAsia" w:ascii="Times New Roman" w:hAnsi="Times New Roman" w:eastAsia="方正仿宋_GBK" w:cs="Times New Roman"/>
                <w:color w:val="000000"/>
                <w:sz w:val="28"/>
                <w:szCs w:val="32"/>
                <w:lang w:val="en-US" w:eastAsia="zh-CN"/>
              </w:rPr>
              <w:t>16</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93F3B">
            <w:pPr>
              <w:snapToGrid w:val="0"/>
              <w:jc w:val="center"/>
              <w:rPr>
                <w:rFonts w:hint="default" w:ascii="Times New Roman" w:hAnsi="Times New Roman" w:eastAsia="方正仿宋_GBK" w:cs="Times New Roman"/>
                <w:color w:val="000000"/>
                <w:sz w:val="28"/>
                <w:szCs w:val="32"/>
                <w:lang w:val="en-US" w:eastAsia="zh-CN"/>
              </w:rPr>
            </w:pPr>
            <w:r>
              <w:rPr>
                <w:rFonts w:hint="eastAsia" w:ascii="Times New Roman" w:hAnsi="Times New Roman" w:eastAsia="方正仿宋_GBK" w:cs="Times New Roman"/>
                <w:color w:val="000000"/>
                <w:sz w:val="28"/>
                <w:szCs w:val="32"/>
                <w:lang w:val="en-US" w:eastAsia="zh-CN"/>
              </w:rPr>
              <w:t>0854</w:t>
            </w:r>
          </w:p>
        </w:tc>
        <w:tc>
          <w:tcPr>
            <w:tcW w:w="2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45877">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电子信息</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F6AD9">
            <w:pPr>
              <w:snapToGrid w:val="0"/>
              <w:jc w:val="center"/>
              <w:rPr>
                <w:rFonts w:hint="default" w:ascii="Times New Roman" w:hAnsi="Times New Roman" w:eastAsia="方正仿宋_GBK" w:cs="Times New Roman"/>
                <w:color w:val="000000"/>
                <w:sz w:val="28"/>
                <w:szCs w:val="32"/>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C2D18">
            <w:pPr>
              <w:snapToGrid w:val="0"/>
              <w:jc w:val="center"/>
              <w:rPr>
                <w:rFonts w:hint="default" w:ascii="Times New Roman" w:hAnsi="Times New Roman" w:eastAsia="方正仿宋_GBK" w:cs="Times New Roman"/>
                <w:color w:val="000000"/>
                <w:sz w:val="28"/>
                <w:szCs w:val="32"/>
              </w:rPr>
            </w:pPr>
          </w:p>
        </w:tc>
      </w:tr>
      <w:tr w14:paraId="17DFC02D">
        <w:tblPrEx>
          <w:tblCellMar>
            <w:top w:w="0" w:type="dxa"/>
            <w:left w:w="108" w:type="dxa"/>
            <w:bottom w:w="0" w:type="dxa"/>
            <w:right w:w="108" w:type="dxa"/>
          </w:tblCellMar>
        </w:tblPrEx>
        <w:trPr>
          <w:trHeight w:val="348"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9BD13">
            <w:pPr>
              <w:snapToGrid w:val="0"/>
              <w:jc w:val="center"/>
              <w:rPr>
                <w:rFonts w:hint="default" w:ascii="Times New Roman" w:hAnsi="Times New Roman" w:eastAsia="方正仿宋_GBK" w:cs="Times New Roman"/>
                <w:color w:val="000000"/>
                <w:sz w:val="28"/>
                <w:szCs w:val="32"/>
                <w:lang w:val="en-US" w:eastAsia="zh-CN"/>
              </w:rPr>
            </w:pPr>
            <w:r>
              <w:rPr>
                <w:rFonts w:hint="eastAsia" w:ascii="Times New Roman" w:hAnsi="Times New Roman" w:eastAsia="方正仿宋_GBK" w:cs="Times New Roman"/>
                <w:color w:val="000000"/>
                <w:sz w:val="28"/>
                <w:szCs w:val="32"/>
                <w:lang w:val="en-US" w:eastAsia="zh-CN"/>
              </w:rPr>
              <w:t>17</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2CCF1">
            <w:pPr>
              <w:snapToGrid w:val="0"/>
              <w:jc w:val="center"/>
              <w:rPr>
                <w:rFonts w:hint="default" w:ascii="Times New Roman" w:hAnsi="Times New Roman" w:eastAsia="方正仿宋_GBK" w:cs="Times New Roman"/>
                <w:color w:val="000000"/>
                <w:sz w:val="28"/>
                <w:szCs w:val="32"/>
                <w:lang w:val="en-US" w:eastAsia="zh-CN"/>
              </w:rPr>
            </w:pPr>
            <w:r>
              <w:rPr>
                <w:rFonts w:hint="eastAsia" w:ascii="Times New Roman" w:hAnsi="Times New Roman" w:eastAsia="方正仿宋_GBK" w:cs="Times New Roman"/>
                <w:color w:val="000000"/>
                <w:sz w:val="28"/>
                <w:szCs w:val="32"/>
                <w:lang w:val="en-US" w:eastAsia="zh-CN"/>
              </w:rPr>
              <w:t>0860</w:t>
            </w:r>
          </w:p>
        </w:tc>
        <w:tc>
          <w:tcPr>
            <w:tcW w:w="2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96785">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生物与医药</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057E5">
            <w:pPr>
              <w:snapToGrid w:val="0"/>
              <w:jc w:val="center"/>
              <w:rPr>
                <w:rFonts w:hint="default" w:ascii="Times New Roman" w:hAnsi="Times New Roman" w:eastAsia="方正仿宋_GBK" w:cs="Times New Roman"/>
                <w:color w:val="000000"/>
                <w:sz w:val="28"/>
                <w:szCs w:val="32"/>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B9BB8">
            <w:pPr>
              <w:snapToGrid w:val="0"/>
              <w:jc w:val="center"/>
              <w:rPr>
                <w:rFonts w:hint="default" w:ascii="Times New Roman" w:hAnsi="Times New Roman" w:eastAsia="方正仿宋_GBK" w:cs="Times New Roman"/>
                <w:color w:val="000000"/>
                <w:sz w:val="28"/>
                <w:szCs w:val="32"/>
              </w:rPr>
            </w:pPr>
          </w:p>
        </w:tc>
      </w:tr>
    </w:tbl>
    <w:p w14:paraId="0C564565">
      <w:pPr>
        <w:pStyle w:val="3"/>
        <w:spacing w:before="156" w:beforeLines="50" w:after="156" w:afterLines="50" w:line="56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（二）学科建设情况</w:t>
      </w:r>
    </w:p>
    <w:p w14:paraId="0AC59E3D">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完成学位点申报，开展学科培育工作。完成水土保持与荒漠化防治学等7个新增博士、硕士学位点申报并获批4个；农林经济管理等5个省级一流学科的中期检查验收，推进林业工程等12个学位点的周期性合格评估；依据教育部规范学科设置的相关精神，调整二级学科；完成林业等10个学位点的省级立项培育推荐；评审并推荐10个优质项目进入2025校级项目库储备。</w:t>
      </w:r>
    </w:p>
    <w:p w14:paraId="236922DB">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规范学科建设经费管理。起草《“121”工程一流学科专项资金管理办法（试行）》；组织5个省级一流建设学科开展了预算支出绩效自评，配合财务处推进学科建设专项资金的预算执行进度。</w:t>
      </w:r>
    </w:p>
    <w:p w14:paraId="7BD3AE16">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加强学科建设交流调研。组织调研清华大学、北京林业大学、南京林业大学和浙江农林大学，学习交流高质量学科建设经验。</w:t>
      </w:r>
    </w:p>
    <w:p w14:paraId="4A888661">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rPr>
      </w:pPr>
      <w:r>
        <w:rPr>
          <w:rStyle w:val="20"/>
          <w:rFonts w:hint="eastAsia" w:ascii="Times New Roman" w:hAnsi="Times New Roman" w:eastAsia="方正仿宋_GBK" w:cs="Times New Roman"/>
          <w:color w:val="auto"/>
          <w:szCs w:val="32"/>
        </w:rPr>
        <w:t>推动学科晋位升级。确定以林业工程为主，林学为辅“冲A”的一流学科建设思路；对7个学院开展调研，对学科设置与调整、团队组建等进行指导和督促；对风景园林学科的提升改进开展专项督查。</w:t>
      </w:r>
    </w:p>
    <w:p w14:paraId="698C002B">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eastAsia="zh-CN"/>
        </w:rPr>
      </w:pPr>
      <w:r>
        <w:rPr>
          <w:rFonts w:hint="eastAsia" w:ascii="Times New Roman" w:hAnsi="Times New Roman" w:eastAsia="方正仿宋_GBK" w:cs="Times New Roman"/>
          <w:szCs w:val="32"/>
        </w:rPr>
        <w:t>成效：获批1个博士专业学位授权点</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水土保持与荒漠化防治学</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1个一级学科硕士学位授权点</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食品科学与工程</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2个专业硕士学位授权点</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电子信息、生物与医药</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调整增列1个一级学科硕士学位授权点</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城乡规划学</w:t>
      </w:r>
      <w:r>
        <w:rPr>
          <w:rFonts w:hint="eastAsia" w:ascii="Times New Roman" w:hAnsi="Times New Roman" w:eastAsia="方正仿宋_GBK" w:cs="Times New Roman"/>
          <w:szCs w:val="32"/>
          <w:lang w:eastAsia="zh-CN"/>
        </w:rPr>
        <w:t>。</w:t>
      </w:r>
    </w:p>
    <w:p w14:paraId="6F3A349B">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（三）研究生招生、在读、毕业、学位授予及就业基本状况</w:t>
      </w:r>
    </w:p>
    <w:p w14:paraId="2FA078CF">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1. 招生：</w:t>
      </w:r>
      <w:r>
        <w:rPr>
          <w:rStyle w:val="20"/>
          <w:rFonts w:hint="eastAsia" w:ascii="Times New Roman" w:hAnsi="Times New Roman" w:eastAsia="方正仿宋_GBK" w:cs="Times New Roman"/>
          <w:color w:val="auto"/>
          <w:szCs w:val="32"/>
          <w:lang w:val="en-US" w:eastAsia="zh-CN"/>
        </w:rPr>
        <w:t>完成2024年研究生招生考试工作，管理制度更加完善，过程管理更加规范，招生工作安全、平稳、有序，共招收博士研究生85人、硕士研究生1540人。博士生较上年增加26人，博士增长率44%，硕士研究生增加81人，硕士增长率5.6%。</w:t>
      </w:r>
    </w:p>
    <w:p w14:paraId="586D760A">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2. 在读：</w:t>
      </w:r>
      <w:r>
        <w:rPr>
          <w:rStyle w:val="20"/>
          <w:rFonts w:hint="eastAsia" w:ascii="Times New Roman" w:hAnsi="Times New Roman" w:eastAsia="方正仿宋_GBK" w:cs="Times New Roman"/>
          <w:color w:val="auto"/>
          <w:szCs w:val="32"/>
          <w:lang w:val="en-US" w:eastAsia="zh-CN"/>
        </w:rPr>
        <w:t>截至2024年底，学校有各类研究生4783人，其中博士研究生268人，其中全日制学术型248人，全日制专业型20人。硕士研究生共4515人，其中全日制硕士研究生3572人（包括学术型硕士研究生1523人，硕士专业学位研究生2049人），非全日制硕士研究生943人（包括学术型硕士研究生54人，硕士专业学位研究生889人）。</w:t>
      </w:r>
    </w:p>
    <w:p w14:paraId="5C442124">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3. 毕业授位</w:t>
      </w:r>
      <w:r>
        <w:rPr>
          <w:rStyle w:val="20"/>
          <w:rFonts w:hint="eastAsia" w:ascii="Times New Roman" w:hAnsi="Times New Roman" w:eastAsia="方正仿宋_GBK" w:cs="Times New Roman"/>
          <w:color w:val="auto"/>
          <w:szCs w:val="32"/>
          <w:lang w:val="en-US" w:eastAsia="zh-CN"/>
        </w:rPr>
        <w:t>：本年度符合毕业条件的博士生31人，授予博士学位30人，目前博士只有学术型全日制类型毕业和授予学位；学术学位硕士研究生中全日制毕业467人、授位454人；非全日制毕业47人、授位45人。专业学位硕士研究生中全日制毕业477人、授位473人；非全日制毕业160人、授位160人。</w:t>
      </w:r>
    </w:p>
    <w:p w14:paraId="2A89D6AD">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4. 就业：202</w:t>
      </w:r>
      <w:r>
        <w:rPr>
          <w:rStyle w:val="20"/>
          <w:rFonts w:hint="eastAsia" w:ascii="Times New Roman" w:hAnsi="Times New Roman" w:eastAsia="方正仿宋_GBK" w:cs="Times New Roman"/>
          <w:color w:val="auto"/>
          <w:szCs w:val="32"/>
          <w:lang w:val="en-US" w:eastAsia="zh-CN"/>
        </w:rPr>
        <w:t>4</w:t>
      </w:r>
      <w:r>
        <w:rPr>
          <w:rStyle w:val="20"/>
          <w:rFonts w:hint="default" w:ascii="Times New Roman" w:hAnsi="Times New Roman" w:eastAsia="方正仿宋_GBK" w:cs="Times New Roman"/>
          <w:color w:val="auto"/>
          <w:szCs w:val="32"/>
          <w:lang w:val="en-US" w:eastAsia="zh-CN"/>
        </w:rPr>
        <w:t>届博士生毕业</w:t>
      </w:r>
      <w:r>
        <w:rPr>
          <w:rStyle w:val="20"/>
          <w:rFonts w:hint="eastAsia" w:ascii="Times New Roman" w:hAnsi="Times New Roman" w:eastAsia="方正仿宋_GBK" w:cs="Times New Roman"/>
          <w:color w:val="auto"/>
          <w:szCs w:val="32"/>
          <w:lang w:val="en-US" w:eastAsia="zh-CN"/>
        </w:rPr>
        <w:t>17</w:t>
      </w:r>
      <w:r>
        <w:rPr>
          <w:rStyle w:val="20"/>
          <w:rFonts w:hint="default" w:ascii="Times New Roman" w:hAnsi="Times New Roman" w:eastAsia="方正仿宋_GBK" w:cs="Times New Roman"/>
          <w:color w:val="auto"/>
          <w:szCs w:val="32"/>
          <w:lang w:val="en-US" w:eastAsia="zh-CN"/>
        </w:rPr>
        <w:t>人</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就业</w:t>
      </w:r>
      <w:r>
        <w:rPr>
          <w:rStyle w:val="20"/>
          <w:rFonts w:hint="eastAsia" w:ascii="Times New Roman" w:hAnsi="Times New Roman" w:eastAsia="方正仿宋_GBK" w:cs="Times New Roman"/>
          <w:color w:val="auto"/>
          <w:szCs w:val="32"/>
          <w:lang w:val="en-US" w:eastAsia="zh-CN"/>
        </w:rPr>
        <w:t>16</w:t>
      </w:r>
      <w:r>
        <w:rPr>
          <w:rStyle w:val="20"/>
          <w:rFonts w:hint="default" w:ascii="Times New Roman" w:hAnsi="Times New Roman" w:eastAsia="方正仿宋_GBK" w:cs="Times New Roman"/>
          <w:color w:val="auto"/>
          <w:szCs w:val="32"/>
          <w:lang w:val="en-US" w:eastAsia="zh-CN"/>
        </w:rPr>
        <w:t>人，初次就业率9</w:t>
      </w:r>
      <w:r>
        <w:rPr>
          <w:rStyle w:val="20"/>
          <w:rFonts w:hint="eastAsia" w:ascii="Times New Roman" w:hAnsi="Times New Roman" w:eastAsia="方正仿宋_GBK" w:cs="Times New Roman"/>
          <w:color w:val="auto"/>
          <w:szCs w:val="32"/>
          <w:lang w:val="en-US" w:eastAsia="zh-CN"/>
        </w:rPr>
        <w:t>4.12</w:t>
      </w:r>
      <w:r>
        <w:rPr>
          <w:rStyle w:val="20"/>
          <w:rFonts w:hint="default" w:ascii="Times New Roman" w:hAnsi="Times New Roman" w:eastAsia="方正仿宋_GBK" w:cs="Times New Roman"/>
          <w:color w:val="auto"/>
          <w:szCs w:val="32"/>
          <w:lang w:val="en-US" w:eastAsia="zh-CN"/>
        </w:rPr>
        <w:t>%；硕士生毕业1</w:t>
      </w:r>
      <w:r>
        <w:rPr>
          <w:rStyle w:val="20"/>
          <w:rFonts w:hint="eastAsia" w:ascii="Times New Roman" w:hAnsi="Times New Roman" w:eastAsia="方正仿宋_GBK" w:cs="Times New Roman"/>
          <w:color w:val="auto"/>
          <w:szCs w:val="32"/>
          <w:lang w:val="en-US" w:eastAsia="zh-CN"/>
        </w:rPr>
        <w:t>099</w:t>
      </w:r>
      <w:r>
        <w:rPr>
          <w:rStyle w:val="20"/>
          <w:rFonts w:hint="default" w:ascii="Times New Roman" w:hAnsi="Times New Roman" w:eastAsia="方正仿宋_GBK" w:cs="Times New Roman"/>
          <w:color w:val="auto"/>
          <w:szCs w:val="32"/>
          <w:lang w:val="en-US" w:eastAsia="zh-CN"/>
        </w:rPr>
        <w:t>人，就业</w:t>
      </w:r>
      <w:r>
        <w:rPr>
          <w:rStyle w:val="20"/>
          <w:rFonts w:hint="eastAsia" w:ascii="Times New Roman" w:hAnsi="Times New Roman" w:eastAsia="方正仿宋_GBK" w:cs="Times New Roman"/>
          <w:color w:val="auto"/>
          <w:szCs w:val="32"/>
          <w:lang w:val="en-US" w:eastAsia="zh-CN"/>
        </w:rPr>
        <w:t>892</w:t>
      </w:r>
      <w:r>
        <w:rPr>
          <w:rStyle w:val="20"/>
          <w:rFonts w:hint="default" w:ascii="Times New Roman" w:hAnsi="Times New Roman" w:eastAsia="方正仿宋_GBK" w:cs="Times New Roman"/>
          <w:color w:val="auto"/>
          <w:szCs w:val="32"/>
          <w:lang w:val="en-US" w:eastAsia="zh-CN"/>
        </w:rPr>
        <w:t>人，初次就业率</w:t>
      </w:r>
      <w:r>
        <w:rPr>
          <w:rStyle w:val="20"/>
          <w:rFonts w:hint="eastAsia" w:ascii="Times New Roman" w:hAnsi="Times New Roman" w:eastAsia="方正仿宋_GBK" w:cs="Times New Roman"/>
          <w:color w:val="auto"/>
          <w:szCs w:val="32"/>
          <w:lang w:val="en-US" w:eastAsia="zh-CN"/>
        </w:rPr>
        <w:t>81.16</w:t>
      </w:r>
      <w:r>
        <w:rPr>
          <w:rStyle w:val="20"/>
          <w:rFonts w:hint="default" w:ascii="Times New Roman" w:hAnsi="Times New Roman" w:eastAsia="方正仿宋_GBK" w:cs="Times New Roman"/>
          <w:color w:val="auto"/>
          <w:szCs w:val="32"/>
          <w:lang w:val="en-US" w:eastAsia="zh-CN"/>
        </w:rPr>
        <w:t>%。不同院系之间的就业率存在一定的差异，</w:t>
      </w:r>
      <w:r>
        <w:rPr>
          <w:rStyle w:val="20"/>
          <w:rFonts w:hint="eastAsia" w:ascii="Times New Roman" w:hAnsi="Times New Roman" w:eastAsia="方正仿宋_GBK" w:cs="Times New Roman"/>
          <w:color w:val="auto"/>
          <w:szCs w:val="32"/>
          <w:lang w:val="en-US" w:eastAsia="zh-CN"/>
        </w:rPr>
        <w:t>文法</w:t>
      </w:r>
      <w:r>
        <w:rPr>
          <w:rStyle w:val="20"/>
          <w:rFonts w:hint="default" w:ascii="Times New Roman" w:hAnsi="Times New Roman" w:eastAsia="方正仿宋_GBK" w:cs="Times New Roman"/>
          <w:color w:val="auto"/>
          <w:szCs w:val="32"/>
          <w:lang w:val="en-US" w:eastAsia="zh-CN"/>
        </w:rPr>
        <w:t>学院</w:t>
      </w:r>
      <w:r>
        <w:rPr>
          <w:rStyle w:val="20"/>
          <w:rFonts w:hint="eastAsia" w:ascii="Times New Roman" w:hAnsi="Times New Roman" w:eastAsia="方正仿宋_GBK" w:cs="Times New Roman"/>
          <w:color w:val="auto"/>
          <w:szCs w:val="32"/>
          <w:lang w:val="en-US" w:eastAsia="zh-CN"/>
        </w:rPr>
        <w:t>的硕士生就业率</w:t>
      </w:r>
      <w:r>
        <w:rPr>
          <w:rStyle w:val="20"/>
          <w:rFonts w:hint="default" w:ascii="Times New Roman" w:hAnsi="Times New Roman" w:eastAsia="方正仿宋_GBK" w:cs="Times New Roman"/>
          <w:color w:val="auto"/>
          <w:szCs w:val="32"/>
          <w:lang w:val="en-US" w:eastAsia="zh-CN"/>
        </w:rPr>
        <w:t>达到了</w:t>
      </w:r>
      <w:r>
        <w:rPr>
          <w:rStyle w:val="20"/>
          <w:rFonts w:hint="eastAsia" w:ascii="Times New Roman" w:hAnsi="Times New Roman" w:eastAsia="方正仿宋_GBK" w:cs="Times New Roman"/>
          <w:color w:val="auto"/>
          <w:szCs w:val="32"/>
          <w:lang w:val="en-US" w:eastAsia="zh-CN"/>
        </w:rPr>
        <w:t>94.12</w:t>
      </w:r>
      <w:r>
        <w:rPr>
          <w:rStyle w:val="20"/>
          <w:rFonts w:hint="default" w:ascii="Times New Roman" w:hAnsi="Times New Roman" w:eastAsia="方正仿宋_GBK" w:cs="Times New Roman"/>
          <w:color w:val="auto"/>
          <w:szCs w:val="32"/>
          <w:lang w:val="en-US" w:eastAsia="zh-CN"/>
        </w:rPr>
        <w:t>%，</w:t>
      </w:r>
      <w:r>
        <w:rPr>
          <w:rStyle w:val="20"/>
          <w:rFonts w:hint="eastAsia" w:ascii="Times New Roman" w:hAnsi="Times New Roman" w:eastAsia="方正仿宋_GBK" w:cs="Times New Roman"/>
          <w:color w:val="auto"/>
          <w:szCs w:val="32"/>
          <w:lang w:val="en-US" w:eastAsia="zh-CN"/>
        </w:rPr>
        <w:t>大数据与智能工程</w:t>
      </w:r>
      <w:r>
        <w:rPr>
          <w:rStyle w:val="20"/>
          <w:rFonts w:hint="default" w:ascii="Times New Roman" w:hAnsi="Times New Roman" w:eastAsia="方正仿宋_GBK" w:cs="Times New Roman"/>
          <w:color w:val="auto"/>
          <w:szCs w:val="32"/>
          <w:lang w:val="en-US" w:eastAsia="zh-CN"/>
        </w:rPr>
        <w:t>学院仅为</w:t>
      </w:r>
      <w:r>
        <w:rPr>
          <w:rStyle w:val="20"/>
          <w:rFonts w:hint="eastAsia" w:ascii="Times New Roman" w:hAnsi="Times New Roman" w:eastAsia="方正仿宋_GBK" w:cs="Times New Roman"/>
          <w:color w:val="auto"/>
          <w:szCs w:val="32"/>
          <w:lang w:val="en-US" w:eastAsia="zh-CN"/>
        </w:rPr>
        <w:t>70.37</w:t>
      </w:r>
      <w:r>
        <w:rPr>
          <w:rStyle w:val="20"/>
          <w:rFonts w:hint="default" w:ascii="Times New Roman" w:hAnsi="Times New Roman" w:eastAsia="方正仿宋_GBK" w:cs="Times New Roman"/>
          <w:color w:val="auto"/>
          <w:szCs w:val="32"/>
          <w:lang w:val="en-US" w:eastAsia="zh-CN"/>
        </w:rPr>
        <w:t>%。</w:t>
      </w:r>
    </w:p>
    <w:p w14:paraId="022008AD">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（四）研究生导师状况</w:t>
      </w:r>
    </w:p>
    <w:p w14:paraId="79989D69">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截至2024年12月，学校现有研究生导师1084人，其中博士生导师194人，硕士生导师890人。</w:t>
      </w:r>
    </w:p>
    <w:p w14:paraId="0AD70A2A">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博士生导师194人，具有院士2人占比1%，正高级职称188人占比97%，副高级职称4人占比2%；具有博士学位187人占比96%，硕士及以下学位7人占比4%；本校博导152人占比78%，外聘42人占比22%，女性56人占比29%。</w:t>
      </w:r>
    </w:p>
    <w:p w14:paraId="7E00B5A4">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硕士生导师890人，具有正高级职称306人占比34%，副高级职称502人占比56%，中级职称及以下82人占比9%；具有博士学位612人占比69%，硕士及以下学位278人占比31%；本校硕导418人占比47%，外聘硕导472人占比53%，女性307人占比34%。</w:t>
      </w:r>
    </w:p>
    <w:p w14:paraId="3C035358">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default"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二、研究生党建与思想政治教育工作</w:t>
      </w:r>
    </w:p>
    <w:p w14:paraId="24436DF0">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召开毕业生座谈会，认真听取学生反馈的意见和建议，了解学生关注的热点、难点；联系各职能部门，共同解决师生实际困难；做好来访师生的答疑解惑和报告协调工作，切实将问题和矛盾解决在萌芽状态。</w:t>
      </w:r>
    </w:p>
    <w:p w14:paraId="74EBA94E">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做好开学季老生返校和新生报到工作，组织开展开学典礼、开学第一课等。组织开展主题班会，做好学生日常思政教育工作。做好学生请假管理及离校报备工作，做好假期留校学生管理与服务，规范学生日常安全教育工作。</w:t>
      </w:r>
    </w:p>
    <w:p w14:paraId="685F271A">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default"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三、研究生培养相关制度及执行情况</w:t>
      </w:r>
    </w:p>
    <w:p w14:paraId="5989ADEE">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（一）</w:t>
      </w:r>
      <w:r>
        <w:rPr>
          <w:rStyle w:val="20"/>
          <w:rFonts w:hint="eastAsia" w:ascii="Times New Roman" w:hAnsi="Times New Roman" w:eastAsia="方正仿宋_GBK" w:cs="Times New Roman"/>
          <w:b/>
          <w:bCs/>
          <w:color w:val="auto"/>
          <w:szCs w:val="32"/>
          <w:lang w:val="en-US"/>
        </w:rPr>
        <w:t>系统、快速推进</w:t>
      </w:r>
      <w:r>
        <w:rPr>
          <w:rStyle w:val="20"/>
          <w:rFonts w:hint="default" w:ascii="Times New Roman" w:hAnsi="Times New Roman" w:eastAsia="方正仿宋_GBK" w:cs="Times New Roman"/>
          <w:b/>
          <w:bCs/>
          <w:color w:val="auto"/>
          <w:szCs w:val="32"/>
        </w:rPr>
        <w:t>制度建设</w:t>
      </w:r>
    </w:p>
    <w:p w14:paraId="7E95B525">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修订出台《西南林业大学研究生指导教师管理办法》（西南林教〔2024〕8号）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《西南林业大学关于研究生攻读学位期间研究成果的规定》（西南林学〔2024〕21号）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《西南林业大学关于研究生提前毕业的规定（2024年修订）》（西南林学〔2024〕36号）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《西南林业大学研究生毕业（学位）论文学术不端行为检测办法》（西南林学〔2024〕41号）</w:t>
      </w:r>
      <w:r>
        <w:rPr>
          <w:rStyle w:val="20"/>
          <w:rFonts w:hint="eastAsia" w:ascii="Times New Roman" w:hAnsi="Times New Roman" w:eastAsia="方正仿宋_GBK" w:cs="Times New Roman"/>
          <w:color w:val="auto"/>
          <w:szCs w:val="32"/>
          <w:lang w:val="en-US" w:eastAsia="zh-CN"/>
        </w:rPr>
        <w:t>4个文件，新</w:t>
      </w:r>
      <w:r>
        <w:rPr>
          <w:rStyle w:val="20"/>
          <w:rFonts w:hint="default" w:ascii="Times New Roman" w:hAnsi="Times New Roman" w:eastAsia="方正仿宋_GBK" w:cs="Times New Roman"/>
          <w:color w:val="auto"/>
          <w:szCs w:val="32"/>
          <w:lang w:val="en-US" w:eastAsia="zh-CN"/>
        </w:rPr>
        <w:t>制定出台</w:t>
      </w:r>
      <w:r>
        <w:rPr>
          <w:rStyle w:val="20"/>
          <w:rFonts w:hint="eastAsia" w:ascii="Times New Roman" w:hAnsi="Times New Roman" w:eastAsia="方正仿宋_GBK" w:cs="Times New Roman"/>
          <w:color w:val="auto"/>
          <w:szCs w:val="32"/>
          <w:lang w:val="en-US" w:eastAsia="zh-CN"/>
        </w:rPr>
        <w:t>《西南林业大学学位授予信息管理规定》（</w:t>
      </w:r>
      <w:r>
        <w:rPr>
          <w:rStyle w:val="20"/>
          <w:rFonts w:hint="default" w:ascii="Times New Roman" w:hAnsi="Times New Roman" w:eastAsia="方正仿宋_GBK" w:cs="Times New Roman"/>
          <w:color w:val="auto"/>
          <w:szCs w:val="32"/>
          <w:lang w:val="en-US" w:eastAsia="zh-CN"/>
        </w:rPr>
        <w:t>西南林学〔2024〕</w:t>
      </w:r>
      <w:r>
        <w:rPr>
          <w:rStyle w:val="20"/>
          <w:rFonts w:hint="eastAsia" w:ascii="Times New Roman" w:hAnsi="Times New Roman" w:eastAsia="方正仿宋_GBK" w:cs="Times New Roman"/>
          <w:color w:val="auto"/>
          <w:szCs w:val="32"/>
          <w:lang w:val="en-US" w:eastAsia="zh-CN"/>
        </w:rPr>
        <w:t>27</w:t>
      </w:r>
      <w:r>
        <w:rPr>
          <w:rStyle w:val="20"/>
          <w:rFonts w:hint="default" w:ascii="Times New Roman" w:hAnsi="Times New Roman" w:eastAsia="方正仿宋_GBK" w:cs="Times New Roman"/>
          <w:color w:val="auto"/>
          <w:szCs w:val="32"/>
          <w:lang w:val="en-US" w:eastAsia="zh-CN"/>
        </w:rPr>
        <w:t>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《西南林业大学专业学位研究生案例库项目管理办法》（西南林学〔2024〕48号）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《西南林业大学科技小院管理办法》（西南林通〔2024〕69号）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《西南林业大学研究生联合培养基地建设管理办法》（西南林学〔2024〕47号）</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《西南林业大学研究生科研创新基金项目管理办法》（西南林学〔2024〕46号 ）</w:t>
      </w:r>
      <w:r>
        <w:rPr>
          <w:rStyle w:val="20"/>
          <w:rFonts w:hint="eastAsia" w:ascii="Times New Roman" w:hAnsi="Times New Roman" w:eastAsia="方正仿宋_GBK" w:cs="Times New Roman"/>
          <w:color w:val="auto"/>
          <w:szCs w:val="32"/>
          <w:lang w:val="en-US" w:eastAsia="zh-CN"/>
        </w:rPr>
        <w:t>5个文件，新制定</w:t>
      </w:r>
      <w:r>
        <w:rPr>
          <w:rStyle w:val="20"/>
          <w:rFonts w:hint="default" w:ascii="Times New Roman" w:hAnsi="Times New Roman" w:eastAsia="方正仿宋_GBK" w:cs="Times New Roman"/>
          <w:color w:val="auto"/>
          <w:szCs w:val="32"/>
          <w:lang w:val="en-US" w:eastAsia="zh-CN"/>
        </w:rPr>
        <w:t>《西南林业大学关于研究生学术和学位复核管理办法》</w:t>
      </w:r>
      <w:r>
        <w:rPr>
          <w:rStyle w:val="20"/>
          <w:rFonts w:hint="eastAsia" w:ascii="Times New Roman" w:hAnsi="Times New Roman" w:eastAsia="方正仿宋_GBK" w:cs="Times New Roman"/>
          <w:color w:val="auto"/>
          <w:szCs w:val="32"/>
          <w:lang w:val="en-US" w:eastAsia="zh-CN"/>
        </w:rPr>
        <w:t>、</w:t>
      </w:r>
      <w:r>
        <w:rPr>
          <w:rStyle w:val="20"/>
          <w:rFonts w:hint="default" w:ascii="Times New Roman" w:hAnsi="Times New Roman" w:eastAsia="方正仿宋_GBK" w:cs="Times New Roman"/>
          <w:color w:val="auto"/>
          <w:szCs w:val="32"/>
          <w:lang w:val="en-US" w:eastAsia="zh-CN"/>
        </w:rPr>
        <w:t>《西南林业大学硕士、博士学位授予工作实施细则》</w:t>
      </w:r>
      <w:r>
        <w:rPr>
          <w:rStyle w:val="20"/>
          <w:rFonts w:hint="eastAsia" w:ascii="Times New Roman" w:hAnsi="Times New Roman" w:eastAsia="方正仿宋_GBK" w:cs="Times New Roman"/>
          <w:color w:val="auto"/>
          <w:szCs w:val="32"/>
          <w:lang w:val="en-US" w:eastAsia="zh-CN"/>
        </w:rPr>
        <w:t>2个文件。出台《西南林业大学研究生学位论文撰写格式规范（2024版）》《西南林业大学研究生教学督导工作管理办法》2个规范。</w:t>
      </w:r>
    </w:p>
    <w:p w14:paraId="4A8365B1">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b/>
          <w:bCs/>
          <w:color w:val="auto"/>
          <w:szCs w:val="32"/>
        </w:rPr>
      </w:pPr>
      <w:r>
        <w:rPr>
          <w:rStyle w:val="20"/>
          <w:rFonts w:hint="eastAsia" w:ascii="Times New Roman" w:hAnsi="Times New Roman" w:eastAsia="方正仿宋_GBK" w:cs="Times New Roman"/>
          <w:b/>
          <w:bCs/>
          <w:color w:val="auto"/>
          <w:szCs w:val="32"/>
        </w:rPr>
        <w:t>（</w:t>
      </w:r>
      <w:r>
        <w:rPr>
          <w:rStyle w:val="20"/>
          <w:rFonts w:hint="eastAsia" w:ascii="Times New Roman" w:hAnsi="Times New Roman" w:eastAsia="方正仿宋_GBK" w:cs="Times New Roman"/>
          <w:b/>
          <w:bCs/>
          <w:color w:val="auto"/>
          <w:szCs w:val="32"/>
          <w:lang w:val="en-US"/>
        </w:rPr>
        <w:t>二</w:t>
      </w:r>
      <w:r>
        <w:rPr>
          <w:rStyle w:val="20"/>
          <w:rFonts w:hint="eastAsia" w:ascii="Times New Roman" w:hAnsi="Times New Roman" w:eastAsia="方正仿宋_GBK" w:cs="Times New Roman"/>
          <w:b/>
          <w:bCs/>
          <w:color w:val="auto"/>
          <w:szCs w:val="32"/>
        </w:rPr>
        <w:t>）</w:t>
      </w:r>
      <w:r>
        <w:rPr>
          <w:rStyle w:val="20"/>
          <w:rFonts w:hint="default" w:ascii="Times New Roman" w:hAnsi="Times New Roman" w:eastAsia="方正仿宋_GBK" w:cs="Times New Roman"/>
          <w:b/>
          <w:bCs/>
          <w:color w:val="auto"/>
          <w:szCs w:val="32"/>
        </w:rPr>
        <w:t>课程建设与实施情况</w:t>
      </w:r>
    </w:p>
    <w:p w14:paraId="26CEE5C2">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2024年在系统中完成研究生公共课程教学任务的落实和课程安排、研究生选课及调整、公共课程考试及补考和成绩备案材料汇总；共开设公共学位课、专业学位课、专业选修课及公共选修课课程和教学班共计708个。</w:t>
      </w:r>
    </w:p>
    <w:p w14:paraId="216376CA">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组织学院开展2022级硕士、博士研究生中期考核及2023级硕士、博士研究生开题报告线上申请工作，完成中期考核人员1231人，已完成开题报告申请人数1132人；完成2024届毕业研究生培养环节和毕业资格审核共计1125人，其中博士32人（应届博士毕业生13人）。</w:t>
      </w:r>
    </w:p>
    <w:p w14:paraId="3ED41C41">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充分发挥质量工程建设项目的示范引领作用，促进研究生培养质量。组织做好我校老师申报12项中国学位与研究生教育学会农林学科工作委员会研究课题；组织评审2024年度云南省学位与研究生教育学会研究生质量工程项目共计93项，最后推荐25项（其中优质课程7项、导师团队9项、案例库9项）。截至2024年底，已获批云南省研究生优质课程建设项目42项，获云南省研究生导师团队建设项目44项，云南省专业学位研究生教学案例库建设项目66项。立项建设全国高等农林院校研究生教育系列教材62本。</w:t>
      </w:r>
    </w:p>
    <w:p w14:paraId="10EDF0A9">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w:t>
      </w:r>
      <w:r>
        <w:rPr>
          <w:rStyle w:val="20"/>
          <w:rFonts w:hint="eastAsia" w:ascii="Times New Roman" w:hAnsi="Times New Roman" w:eastAsia="方正仿宋_GBK" w:cs="Times New Roman"/>
          <w:b/>
          <w:bCs/>
          <w:color w:val="auto"/>
          <w:szCs w:val="32"/>
          <w:lang w:val="en-US"/>
        </w:rPr>
        <w:t>三</w:t>
      </w:r>
      <w:r>
        <w:rPr>
          <w:rStyle w:val="20"/>
          <w:rFonts w:hint="default" w:ascii="Times New Roman" w:hAnsi="Times New Roman" w:eastAsia="方正仿宋_GBK" w:cs="Times New Roman"/>
          <w:b/>
          <w:bCs/>
          <w:color w:val="auto"/>
          <w:szCs w:val="32"/>
        </w:rPr>
        <w:t>）导师选拔培训、师德师风建设情况</w:t>
      </w:r>
    </w:p>
    <w:p w14:paraId="6831A756">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1. 导师选拔</w:t>
      </w:r>
    </w:p>
    <w:p w14:paraId="6FE8791A">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基于最新颁布实施的《西南林业大学研究生指导教师管理办法》，实施导师管理改革，明确导师遴选条件，规范遴选程序。研究生导师选聘工作坚持公正、公平、公开原则，实行“总量控制、按需设岗、结构优化、动态管理”机制，着重选拔责任心强、指导能力突出、学术水平较高的教师担任研究生导师。</w:t>
      </w:r>
    </w:p>
    <w:p w14:paraId="594836A3">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研究生导师管理实行学校和学院两级管理，严格执行导师选聘制度、明确导师权责、开展导师定期考核、完善导师考核退出机制。加强研究生导师工作规范管理，强化导师岗位责任意识，提高研究生培养质量，不断推进学校学科建设发展，提升研究生教育水平。充分尊重学生和导师意愿确定“导师—学生”指导关系，支持导师严格管理学生学业。</w:t>
      </w:r>
    </w:p>
    <w:p w14:paraId="4F4B2F60">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健全考核评价体系，明确考核标准，规范考核程序。将政治表现、师德师风、学术水平、指导精力投入、育人实效等纳入考核评价体系，对研究生导师履职情况进行综合评价。明确考核结果等次，设定考核结果3个等次，并对不同等次实行不同使用办法，确保导师队伍素质提升。</w:t>
      </w:r>
    </w:p>
    <w:p w14:paraId="19E4DD19">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2024年新增99名硕士研究生指导教师，43名博士研究生指导教师。</w:t>
      </w:r>
    </w:p>
    <w:p w14:paraId="60AFA597">
      <w:pPr>
        <w:pStyle w:val="3"/>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导师培训</w:t>
      </w:r>
    </w:p>
    <w:p w14:paraId="0E5804CB">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2024年度开展研究生导师学习培训，培训对象包括2023年度遴选的研究生导师，要求至少在线学习三个专题报告，其他研究生导师根据自己的时间自主选择学习。各学院认真组织本学院导师参与学习培训，将参与培训情况作为导师考核的内容。</w:t>
      </w:r>
    </w:p>
    <w:p w14:paraId="519203C9">
      <w:pPr>
        <w:pStyle w:val="3"/>
        <w:keepNext w:val="0"/>
        <w:keepLines w:val="0"/>
        <w:pageBreakBefore w:val="0"/>
        <w:widowControl w:val="0"/>
        <w:numPr>
          <w:ilvl w:val="0"/>
          <w:numId w:val="1"/>
        </w:numPr>
        <w:kinsoku/>
        <w:wordWrap/>
        <w:overflowPunct/>
        <w:topLinePunct w:val="0"/>
        <w:autoSpaceDE/>
        <w:autoSpaceDN/>
        <w:bidi w:val="0"/>
        <w:adjustRightInd/>
        <w:snapToGrid w:val="0"/>
        <w:spacing w:after="156" w:afterLines="50" w:line="500" w:lineRule="exact"/>
        <w:ind w:left="0" w:leftChars="0" w:firstLine="640" w:firstLineChars="200"/>
        <w:textAlignment w:val="auto"/>
        <w:rPr>
          <w:rStyle w:val="20"/>
          <w:rFonts w:hint="default"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师德师风建设</w:t>
      </w:r>
    </w:p>
    <w:p w14:paraId="69A80BBC">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学校制订《西南林业大学全面落实研究生导师立德树人职责实施细则》，明确将立德树人作为导师的首要职责；加强导师培训，强化导师立德树人职责，实现培训常态化、规范化、专业化，在导师岗前培训、岗中培训、专题培训和常规培训中均将导师立德树人职责作为培训的主要内容；将师德考核结果纳入优秀导师评选机制，强化优秀导师示范引领作用。</w:t>
      </w:r>
    </w:p>
    <w:p w14:paraId="6ED723B4">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rPr>
        <w:t>学校制订《西南林业大学师德负面清单及</w:t>
      </w:r>
      <w:r>
        <w:rPr>
          <w:rStyle w:val="20"/>
          <w:rFonts w:hint="default" w:ascii="Times New Roman" w:hAnsi="Times New Roman" w:eastAsia="方正仿宋_GBK" w:cs="Times New Roman"/>
          <w:color w:val="auto"/>
          <w:szCs w:val="32"/>
          <w:lang w:val="en-US" w:eastAsia="zh-CN"/>
        </w:rPr>
        <w:t>失范</w:t>
      </w:r>
      <w:r>
        <w:rPr>
          <w:rStyle w:val="20"/>
          <w:rFonts w:hint="default" w:ascii="Times New Roman" w:hAnsi="Times New Roman" w:eastAsia="方正仿宋_GBK" w:cs="Times New Roman"/>
          <w:color w:val="auto"/>
          <w:szCs w:val="32"/>
        </w:rPr>
        <w:t>行为处理</w:t>
      </w:r>
      <w:r>
        <w:rPr>
          <w:rStyle w:val="20"/>
          <w:rFonts w:hint="default" w:ascii="Times New Roman" w:hAnsi="Times New Roman" w:eastAsia="方正仿宋_GBK" w:cs="Times New Roman"/>
          <w:color w:val="auto"/>
          <w:szCs w:val="32"/>
          <w:lang w:val="en-US" w:eastAsia="zh-CN"/>
        </w:rPr>
        <w:t>办法（试行）》，明确教师职业行为负面清单，师德失范行为的处理与问责机制。</w:t>
      </w:r>
    </w:p>
    <w:p w14:paraId="21845646">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default" w:ascii="Times New Roman" w:hAnsi="Times New Roman" w:eastAsia="方正仿宋_GBK" w:cs="Times New Roman"/>
          <w:color w:val="auto"/>
          <w:szCs w:val="32"/>
          <w:lang w:val="en-US" w:eastAsia="zh-CN"/>
        </w:rPr>
        <w:t>学校制订《西南林业大学进一步加强和改进师德师风建设的实施意见》，明确了师德师风建设的基本要求，师德师风建设的主要措施等。积极引导教师做有理想信念、有道德情操、有扎实学识、有仁爱之心，做党和人民满意的好老师，努力培养造就一支师德高尚、业务精湛、结构合理、充满活力的高素质专业化教师队伍。</w:t>
      </w:r>
    </w:p>
    <w:p w14:paraId="1C326B24">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（三）学术训练及交流情况</w:t>
      </w:r>
    </w:p>
    <w:p w14:paraId="66E5C5B0">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针对我校硕士、博士生培养模式差异，要求学术型硕士研究生在读期间完成不少于2场的个人学术报告，博士研究生在读期间不少于3场的个人学术报告。为保证学术训练的完成质量，研究生院聘请校级教学督导随机参加学术报告，同时提出意见和建议。2024年共完成硕士毕业生个人学术报告2186场，博士毕业生个人学术报告96场。</w:t>
      </w:r>
    </w:p>
    <w:p w14:paraId="345271CE">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积极组织各学院动员研究生参加中国研究生创新实践系列大赛，共有2个研究生团队分别获第八届中国研究生公共管理案例大赛三等奖和第二十一届中国研究生数学建模竞赛三等奖。获评2024年中国研究生“美丽中国”创新设计大赛——生物多样性保护与利用创新大赛全国总决赛优秀组织单位。</w:t>
      </w:r>
    </w:p>
    <w:p w14:paraId="292E6385">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（四）研究生奖助情况</w:t>
      </w:r>
    </w:p>
    <w:p w14:paraId="4F667574">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制定出台《西南林业大学研究生奖助学金管理办法》。2024年，共发放全日制研究生国家助学金2109.85万元，国家奖学金188万元，省政府奖学金50万元，全日制研究生学业奖学金2249.4万元，非全日制研究生校级助学金11.5万元，临时困难补助1.18万元，研究生“三助一辅”岗位津贴89.33元。</w:t>
      </w:r>
    </w:p>
    <w:p w14:paraId="1DE1F49B">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rPr>
        <w:t>2024年研究生违规违纪处理5人，办理休学13人，办理</w:t>
      </w:r>
      <w:r>
        <w:rPr>
          <w:rStyle w:val="20"/>
          <w:rFonts w:hint="eastAsia" w:ascii="Times New Roman" w:hAnsi="Times New Roman" w:eastAsia="方正仿宋_GBK" w:cs="Times New Roman"/>
          <w:color w:val="auto"/>
          <w:szCs w:val="32"/>
          <w:lang w:val="en-US" w:eastAsia="zh-CN"/>
        </w:rPr>
        <w:t>复学9人，办理退学13人。</w:t>
      </w:r>
    </w:p>
    <w:p w14:paraId="17159E4C">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完成省“三好”“优干”和先进班集体、校优评审。共评选17名省级优秀三好学生，2名省级优秀学生干部，144名校级优秀</w:t>
      </w:r>
      <w:r>
        <w:rPr>
          <w:rStyle w:val="20"/>
          <w:rFonts w:hint="eastAsia" w:ascii="Times New Roman" w:hAnsi="Times New Roman" w:eastAsia="方正仿宋_GBK" w:cs="Times New Roman"/>
          <w:color w:val="auto"/>
          <w:szCs w:val="32"/>
          <w:lang w:val="en-US" w:eastAsia="zh-CN"/>
        </w:rPr>
        <w:t>研究生，97名校级优秀研究生干部，5个校级优秀班集体。</w:t>
      </w:r>
    </w:p>
    <w:p w14:paraId="53EA5F90">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eastAsia"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四、研究生教育改革情况</w:t>
      </w:r>
    </w:p>
    <w:p w14:paraId="7BADA957">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eastAsia" w:ascii="Times New Roman" w:hAnsi="Times New Roman" w:eastAsia="方正仿宋_GBK" w:cs="Times New Roman"/>
          <w:b/>
          <w:bCs/>
          <w:color w:val="auto"/>
          <w:szCs w:val="32"/>
          <w:lang w:eastAsia="zh-CN"/>
        </w:rPr>
      </w:pPr>
      <w:r>
        <w:rPr>
          <w:rStyle w:val="20"/>
          <w:rFonts w:hint="eastAsia" w:ascii="Times New Roman" w:hAnsi="Times New Roman" w:eastAsia="方正仿宋_GBK" w:cs="Times New Roman"/>
          <w:b/>
          <w:bCs/>
          <w:color w:val="auto"/>
          <w:szCs w:val="32"/>
          <w:lang w:eastAsia="zh-CN"/>
        </w:rPr>
        <w:t>（一）加强制度建设构建长效机制</w:t>
      </w:r>
    </w:p>
    <w:p w14:paraId="2218C489">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注重建章立制，全年制定出台了《西南林业大学研究生指导教师管理办法》《西南林业大学博士研究生招生管理办法》等 10余项规章制度，涵盖招生、培养、授位、内部管理等多个方面，解决了师生急难愁盼的制度建设问题和为师生减负的问题。这些制度的建立，形成了一套完整的管理体系和运行机制，有效制约和监督日常工作运行，压缩自由裁量空间，确保各项工作有章可循、规范有序，为党风廉政建设提供了坚实的制度保障。</w:t>
      </w:r>
    </w:p>
    <w:p w14:paraId="068019BE">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eastAsia" w:ascii="Times New Roman" w:hAnsi="Times New Roman" w:eastAsia="方正仿宋_GBK" w:cs="Times New Roman"/>
          <w:b/>
          <w:bCs/>
          <w:color w:val="auto"/>
          <w:szCs w:val="32"/>
          <w:lang w:eastAsia="zh-CN"/>
        </w:rPr>
      </w:pPr>
      <w:r>
        <w:rPr>
          <w:rStyle w:val="20"/>
          <w:rFonts w:hint="eastAsia" w:ascii="Times New Roman" w:hAnsi="Times New Roman" w:eastAsia="方正仿宋_GBK" w:cs="Times New Roman"/>
          <w:b/>
          <w:bCs/>
          <w:color w:val="auto"/>
          <w:szCs w:val="32"/>
          <w:lang w:eastAsia="zh-CN"/>
        </w:rPr>
        <w:t>（</w:t>
      </w:r>
      <w:r>
        <w:rPr>
          <w:rStyle w:val="20"/>
          <w:rFonts w:hint="eastAsia" w:ascii="Times New Roman" w:hAnsi="Times New Roman" w:eastAsia="方正仿宋_GBK" w:cs="Times New Roman"/>
          <w:b/>
          <w:bCs/>
          <w:color w:val="auto"/>
          <w:szCs w:val="32"/>
          <w:lang w:val="en-US" w:eastAsia="zh-CN"/>
        </w:rPr>
        <w:t>二</w:t>
      </w:r>
      <w:r>
        <w:rPr>
          <w:rStyle w:val="20"/>
          <w:rFonts w:hint="eastAsia" w:ascii="Times New Roman" w:hAnsi="Times New Roman" w:eastAsia="方正仿宋_GBK" w:cs="Times New Roman"/>
          <w:b/>
          <w:bCs/>
          <w:color w:val="auto"/>
          <w:szCs w:val="32"/>
          <w:lang w:eastAsia="zh-CN"/>
        </w:rPr>
        <w:t>）研究生招考机制改革创新</w:t>
      </w:r>
    </w:p>
    <w:p w14:paraId="3FDBC205">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1. 博士招生深化行动</w:t>
      </w:r>
    </w:p>
    <w:p w14:paraId="6DAE8599">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2024年全面试行博士研究生招生“申请-审核”制，首次开展招收推荐免试直博生工作，录取直博生1人，圆满完成2024年度博士研究生招生任务，进一步提高了博士研究生生源质量。</w:t>
      </w:r>
    </w:p>
    <w:p w14:paraId="526D5A03">
      <w:pPr>
        <w:pStyle w:val="3"/>
        <w:keepNext w:val="0"/>
        <w:keepLines w:val="0"/>
        <w:pageBreakBefore w:val="0"/>
        <w:widowControl w:val="0"/>
        <w:numPr>
          <w:ilvl w:val="0"/>
          <w:numId w:val="2"/>
        </w:numPr>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硕士招录完善行动</w:t>
      </w:r>
    </w:p>
    <w:p w14:paraId="715B7345">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进一步对招生专业进行优化调整，突出特色，在2025年硕士研究生招生专业增加5个一级学科/专业的情况下，保留了58个招生专业。非全日制招生计划区分方向，集中到文科及社会需求大的学院。在鼓励减少自命题数量的大背景下，我校2025年硕士研究生招生按一级学科精简自命题考试科目，自命题科目从76门压缩到44门。结合学校特色和优势，聚焦林业、生态学、生物学三个专业，继续深化与中国科学院联合培养研究生机制。加强研究生招考环节的规范化管理，通过不同形式多人组题以及纪委抽题等方式优化自命题出题。为保障复试环节保密性要求，取消复试笔试环节。采用参考书替代考试大纲，规避超纲问题等具体措施。</w:t>
      </w:r>
    </w:p>
    <w:p w14:paraId="79F90851">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成效：招生管理工作更加规范，实现了网上阅卷零差错、调剂复试零失误、数字赋能零突破。博士招生机制更加完善，由普通考试改为“申请-审核制”，全面实行“申请-审核制”，增设“直博”路径，录取直博生1人，实现历史性突破。生源数量质量更加提升，在全国考研报名人数有所回落的大背景下，我校报考人数不降反增，报考4990人，增幅2.6%；实考人数3926，增幅14%。</w:t>
      </w:r>
    </w:p>
    <w:p w14:paraId="494EE20B">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eastAsia" w:ascii="Times New Roman" w:hAnsi="Times New Roman" w:eastAsia="方正仿宋_GBK" w:cs="Times New Roman"/>
          <w:b/>
          <w:bCs/>
          <w:color w:val="auto"/>
          <w:szCs w:val="32"/>
          <w:lang w:val="en-US" w:eastAsia="zh-CN"/>
        </w:rPr>
      </w:pPr>
      <w:r>
        <w:rPr>
          <w:rStyle w:val="20"/>
          <w:rFonts w:hint="eastAsia" w:ascii="Times New Roman" w:hAnsi="Times New Roman" w:eastAsia="方正仿宋_GBK" w:cs="Times New Roman"/>
          <w:b/>
          <w:bCs/>
          <w:color w:val="auto"/>
          <w:szCs w:val="32"/>
          <w:lang w:val="en-US" w:eastAsia="zh-CN"/>
        </w:rPr>
        <w:t>（五）学籍清退和学业预警</w:t>
      </w:r>
    </w:p>
    <w:p w14:paraId="6EC1A379">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组织完成研究生学籍清退和学业预警工作，2024年学籍清理32人，其中硕士研究生30人，博士研究生2人，对105名即将达到最长修业年限的研究生进行学业预警。</w:t>
      </w:r>
    </w:p>
    <w:p w14:paraId="2355ED71">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eastAsia"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五、教育质量评估与分析</w:t>
      </w:r>
    </w:p>
    <w:p w14:paraId="6AC812DF">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（一）学科自我评估进展及问题分析</w:t>
      </w:r>
    </w:p>
    <w:p w14:paraId="1DD1F0F5">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rPr>
      </w:pPr>
      <w:r>
        <w:rPr>
          <w:rFonts w:hint="default" w:ascii="Times New Roman" w:hAnsi="Times New Roman" w:eastAsia="仿宋_GB2312"/>
          <w:bCs/>
          <w:szCs w:val="32"/>
          <w:shd w:val="clear" w:color="auto" w:fill="FFFFFF"/>
          <w:lang w:val="en-US" w:eastAsia="zh-CN"/>
        </w:rPr>
        <w:t>启动</w:t>
      </w:r>
      <w:r>
        <w:rPr>
          <w:rStyle w:val="20"/>
          <w:rFonts w:hint="default" w:ascii="Times New Roman" w:hAnsi="Times New Roman" w:eastAsia="方正仿宋_GBK" w:cs="Times New Roman"/>
          <w:color w:val="auto"/>
          <w:szCs w:val="32"/>
        </w:rPr>
        <w:t>学位授权点整体自评工作，形成自评材料，包括自评报告与支撑材料等。</w:t>
      </w:r>
      <w:r>
        <w:rPr>
          <w:rStyle w:val="20"/>
          <w:rFonts w:hint="eastAsia" w:ascii="Times New Roman" w:hAnsi="Times New Roman" w:eastAsia="方正仿宋_GBK" w:cs="Times New Roman"/>
          <w:color w:val="auto"/>
          <w:szCs w:val="32"/>
        </w:rPr>
        <w:t>在</w:t>
      </w:r>
      <w:r>
        <w:rPr>
          <w:rStyle w:val="20"/>
          <w:rFonts w:hint="default" w:ascii="Times New Roman" w:hAnsi="Times New Roman" w:eastAsia="方正仿宋_GBK" w:cs="Times New Roman"/>
          <w:color w:val="auto"/>
          <w:szCs w:val="32"/>
          <w:lang w:val="en-US" w:eastAsia="zh-CN"/>
        </w:rPr>
        <w:t>校外专家评估</w:t>
      </w:r>
      <w:r>
        <w:rPr>
          <w:rStyle w:val="20"/>
          <w:rFonts w:hint="eastAsia" w:ascii="Times New Roman" w:hAnsi="Times New Roman" w:eastAsia="方正仿宋_GBK" w:cs="Times New Roman"/>
          <w:color w:val="auto"/>
          <w:szCs w:val="32"/>
          <w:lang w:val="en-US" w:eastAsia="zh-CN"/>
        </w:rPr>
        <w:t>的基础上，校学位评定委员会根据评估专家评议意见，确定各学位授权点自我评估结果均为合格。根据评估过程中发现的问题和不足，结合评估专家意见，各学位授权点制定改进提升方案。</w:t>
      </w:r>
    </w:p>
    <w:p w14:paraId="2143B396">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Style w:val="20"/>
          <w:rFonts w:hint="default" w:ascii="Times New Roman" w:hAnsi="Times New Roman" w:eastAsia="方正仿宋_GBK" w:cs="Times New Roman"/>
          <w:color w:val="auto"/>
          <w:szCs w:val="32"/>
        </w:rPr>
      </w:pPr>
      <w:r>
        <w:rPr>
          <w:rStyle w:val="20"/>
          <w:rFonts w:hint="default" w:ascii="Times New Roman" w:hAnsi="Times New Roman" w:eastAsia="方正仿宋_GBK" w:cs="Times New Roman"/>
          <w:color w:val="auto"/>
          <w:szCs w:val="32"/>
        </w:rPr>
        <w:t>存在的主要问题有：</w:t>
      </w:r>
      <w:r>
        <w:rPr>
          <w:rStyle w:val="20"/>
          <w:rFonts w:hint="eastAsia" w:ascii="Times New Roman" w:hAnsi="Times New Roman" w:eastAsia="方正仿宋_GBK" w:cs="Times New Roman"/>
          <w:color w:val="auto"/>
          <w:szCs w:val="32"/>
          <w:lang w:val="en-US"/>
        </w:rPr>
        <w:t>一级学科（专业学位类别）博士点数量偏少；学科建设聚焦不足，成果和特色不突出；师资数量、质量和结构仍需优化</w:t>
      </w:r>
      <w:r>
        <w:rPr>
          <w:rStyle w:val="20"/>
          <w:rFonts w:hint="default" w:ascii="Times New Roman" w:hAnsi="Times New Roman" w:eastAsia="方正仿宋_GBK" w:cs="Times New Roman"/>
          <w:color w:val="auto"/>
          <w:szCs w:val="32"/>
        </w:rPr>
        <w:t>。</w:t>
      </w:r>
    </w:p>
    <w:p w14:paraId="16B4509F">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rPr>
      </w:pPr>
      <w:r>
        <w:rPr>
          <w:rStyle w:val="20"/>
          <w:rFonts w:hint="default" w:ascii="Times New Roman" w:hAnsi="Times New Roman" w:eastAsia="方正仿宋_GBK" w:cs="Times New Roman"/>
          <w:b/>
          <w:bCs/>
          <w:color w:val="auto"/>
          <w:szCs w:val="32"/>
        </w:rPr>
        <w:t>（二）学位论文抽检情况及问题分析</w:t>
      </w:r>
    </w:p>
    <w:p w14:paraId="05550740">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Style w:val="20"/>
          <w:rFonts w:hint="eastAsia" w:ascii="Times New Roman" w:hAnsi="Times New Roman" w:eastAsia="方正仿宋_GBK" w:cs="Times New Roman"/>
          <w:color w:val="auto"/>
          <w:szCs w:val="32"/>
        </w:rPr>
      </w:pPr>
      <w:r>
        <w:rPr>
          <w:rStyle w:val="20"/>
          <w:rFonts w:hint="eastAsia" w:ascii="Times New Roman" w:hAnsi="Times New Roman" w:eastAsia="方正仿宋_GBK" w:cs="Times New Roman"/>
          <w:color w:val="auto"/>
          <w:szCs w:val="32"/>
        </w:rPr>
        <w:t>202</w:t>
      </w:r>
      <w:r>
        <w:rPr>
          <w:rStyle w:val="20"/>
          <w:rFonts w:hint="eastAsia" w:ascii="Times New Roman" w:hAnsi="Times New Roman" w:eastAsia="方正仿宋_GBK" w:cs="Times New Roman"/>
          <w:color w:val="auto"/>
          <w:szCs w:val="32"/>
          <w:lang w:val="en-US"/>
        </w:rPr>
        <w:t>4</w:t>
      </w:r>
      <w:r>
        <w:rPr>
          <w:rStyle w:val="20"/>
          <w:rFonts w:hint="eastAsia" w:ascii="Times New Roman" w:hAnsi="Times New Roman" w:eastAsia="方正仿宋_GBK" w:cs="Times New Roman"/>
          <w:color w:val="auto"/>
          <w:szCs w:val="32"/>
        </w:rPr>
        <w:t>年云南省教育厅学位办组织对202</w:t>
      </w:r>
      <w:r>
        <w:rPr>
          <w:rStyle w:val="20"/>
          <w:rFonts w:hint="eastAsia" w:ascii="Times New Roman" w:hAnsi="Times New Roman" w:eastAsia="方正仿宋_GBK" w:cs="Times New Roman"/>
          <w:color w:val="auto"/>
          <w:szCs w:val="32"/>
          <w:lang w:val="en-US"/>
        </w:rPr>
        <w:t>3</w:t>
      </w:r>
      <w:r>
        <w:rPr>
          <w:rStyle w:val="20"/>
          <w:rFonts w:hint="eastAsia" w:ascii="Times New Roman" w:hAnsi="Times New Roman" w:eastAsia="方正仿宋_GBK" w:cs="Times New Roman"/>
          <w:color w:val="auto"/>
          <w:szCs w:val="32"/>
        </w:rPr>
        <w:t>届硕士学位论文进行了抽检，我校被抽检论文没有</w:t>
      </w:r>
      <w:r>
        <w:rPr>
          <w:rStyle w:val="20"/>
          <w:rFonts w:hint="eastAsia" w:ascii="Times New Roman" w:hAnsi="Times New Roman" w:eastAsia="方正仿宋_GBK" w:cs="Times New Roman"/>
          <w:color w:val="auto"/>
          <w:szCs w:val="32"/>
          <w:lang w:val="en-US"/>
        </w:rPr>
        <w:t>不合格</w:t>
      </w:r>
      <w:r>
        <w:rPr>
          <w:rStyle w:val="20"/>
          <w:rFonts w:hint="eastAsia" w:ascii="Times New Roman" w:hAnsi="Times New Roman" w:eastAsia="方正仿宋_GBK" w:cs="Times New Roman"/>
          <w:color w:val="auto"/>
          <w:szCs w:val="32"/>
        </w:rPr>
        <w:t>论文。</w:t>
      </w:r>
    </w:p>
    <w:p w14:paraId="06DAE2F0">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20"/>
          <w:rFonts w:hint="eastAsia" w:ascii="方正楷体_GB2312" w:hAnsi="方正楷体_GB2312" w:eastAsia="方正楷体_GB2312" w:cs="方正楷体_GB2312"/>
          <w:szCs w:val="32"/>
        </w:rPr>
      </w:pPr>
      <w:r>
        <w:rPr>
          <w:rStyle w:val="20"/>
          <w:rFonts w:hint="eastAsia" w:ascii="方正楷体_GB2312" w:hAnsi="方正楷体_GB2312" w:eastAsia="方正楷体_GB2312" w:cs="方正楷体_GB2312"/>
          <w:szCs w:val="32"/>
        </w:rPr>
        <w:t>六、</w:t>
      </w:r>
      <w:r>
        <w:rPr>
          <w:rStyle w:val="20"/>
          <w:rFonts w:hint="eastAsia" w:ascii="方正楷体_GB2312" w:hAnsi="方正楷体_GB2312" w:eastAsia="方正楷体_GB2312" w:cs="方正楷体_GB2312"/>
          <w:szCs w:val="32"/>
          <w:lang w:val="en-US"/>
        </w:rPr>
        <w:t>问题及</w:t>
      </w:r>
      <w:r>
        <w:rPr>
          <w:rStyle w:val="20"/>
          <w:rFonts w:hint="eastAsia" w:ascii="方正楷体_GB2312" w:hAnsi="方正楷体_GB2312" w:eastAsia="方正楷体_GB2312" w:cs="方正楷体_GB2312"/>
          <w:szCs w:val="32"/>
        </w:rPr>
        <w:t>改进措施</w:t>
      </w:r>
    </w:p>
    <w:p w14:paraId="25769671">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eastAsia" w:ascii="Times New Roman" w:hAnsi="Times New Roman" w:eastAsia="方正仿宋_GBK" w:cs="Times New Roman"/>
          <w:b/>
          <w:bCs/>
          <w:color w:val="auto"/>
          <w:szCs w:val="32"/>
          <w:lang w:val="en-US"/>
        </w:rPr>
      </w:pPr>
      <w:r>
        <w:rPr>
          <w:rStyle w:val="20"/>
          <w:rFonts w:hint="eastAsia" w:ascii="Times New Roman" w:hAnsi="Times New Roman" w:eastAsia="方正仿宋_GBK" w:cs="Times New Roman"/>
          <w:b/>
          <w:bCs/>
          <w:color w:val="auto"/>
          <w:szCs w:val="32"/>
          <w:lang w:val="en-US"/>
        </w:rPr>
        <w:t>（一）管理运行梗阻，不适应研究生教育新形势</w:t>
      </w:r>
    </w:p>
    <w:p w14:paraId="51E061BC">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研究生教育涉及多部门的协调与配合，随着我校研究生规模的扩大和学科交叉融合的趋势，传统的管理体制和运行机制显得力不从心。一方面，研究生教育的管理体系复杂，政策性强、规范性高，需要一支稳定的研究生管理队伍，由于研究生秘书没有相应的身份，因此流动性极大，导致管理效率低下。另一方面，学校各部门虽然均在不同程度上实现了管理的信息化，但由于各部门使用的管理系统之间不兼容，数据难以共享，使得学生在办理休学、复学等手续时仍然需要办理较多的线下手续，加上部分内容缺乏线上流程，不仅降低了为师生服务的效能，而且增加了管理成本。</w:t>
      </w:r>
    </w:p>
    <w:p w14:paraId="43BC468C">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因此，有必要从校级层面整合全校之力，打通部门壁垒和信息壁垒，建立更加灵活、高效的管理体系，是适应新形势、提升研究生教育质量的必然选择。</w:t>
      </w:r>
    </w:p>
    <w:p w14:paraId="2A3FBACC">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lang w:val="en-US"/>
        </w:rPr>
      </w:pPr>
      <w:r>
        <w:rPr>
          <w:rStyle w:val="20"/>
          <w:rFonts w:hint="eastAsia" w:ascii="Times New Roman" w:hAnsi="Times New Roman" w:eastAsia="方正仿宋_GBK" w:cs="Times New Roman"/>
          <w:b/>
          <w:bCs/>
          <w:color w:val="auto"/>
          <w:szCs w:val="32"/>
          <w:lang w:eastAsia="zh-CN"/>
        </w:rPr>
        <w:t>（</w:t>
      </w:r>
      <w:r>
        <w:rPr>
          <w:rStyle w:val="20"/>
          <w:rFonts w:hint="eastAsia" w:ascii="Times New Roman" w:hAnsi="Times New Roman" w:eastAsia="方正仿宋_GBK" w:cs="Times New Roman"/>
          <w:b/>
          <w:bCs/>
          <w:color w:val="auto"/>
          <w:szCs w:val="32"/>
          <w:lang w:val="en-US" w:eastAsia="zh-CN"/>
        </w:rPr>
        <w:t>二</w:t>
      </w:r>
      <w:r>
        <w:rPr>
          <w:rStyle w:val="20"/>
          <w:rFonts w:hint="eastAsia" w:ascii="Times New Roman" w:hAnsi="Times New Roman" w:eastAsia="方正仿宋_GBK" w:cs="Times New Roman"/>
          <w:b/>
          <w:bCs/>
          <w:color w:val="auto"/>
          <w:szCs w:val="32"/>
          <w:lang w:eastAsia="zh-CN"/>
        </w:rPr>
        <w:t>）</w:t>
      </w:r>
      <w:r>
        <w:rPr>
          <w:rStyle w:val="20"/>
          <w:rFonts w:hint="eastAsia" w:ascii="Times New Roman" w:hAnsi="Times New Roman" w:eastAsia="方正仿宋_GBK" w:cs="Times New Roman"/>
          <w:b/>
          <w:bCs/>
          <w:color w:val="auto"/>
          <w:szCs w:val="32"/>
        </w:rPr>
        <w:t>专业设置与招生计划</w:t>
      </w:r>
      <w:r>
        <w:rPr>
          <w:rStyle w:val="20"/>
          <w:rFonts w:hint="eastAsia" w:ascii="Times New Roman" w:hAnsi="Times New Roman" w:eastAsia="方正仿宋_GBK" w:cs="Times New Roman"/>
          <w:b/>
          <w:bCs/>
          <w:color w:val="auto"/>
          <w:szCs w:val="32"/>
          <w:lang w:val="en-US"/>
        </w:rPr>
        <w:t>滞后于社会需求</w:t>
      </w:r>
    </w:p>
    <w:p w14:paraId="2D7859E8">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eastAsia"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根据社会需求和学科发展趋势，动态调整专业结构，合理控制各专业的招生规模。对于新兴交叉学科和国家急需领域，加大招生力度，提供更多的优惠政策和资源支持。取消或撤并一些招生专业，确保招生培养一体化高质量发展。</w:t>
      </w:r>
    </w:p>
    <w:p w14:paraId="7FF6C7F2">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20"/>
          <w:rFonts w:hint="default" w:ascii="Times New Roman" w:hAnsi="Times New Roman" w:eastAsia="方正仿宋_GBK" w:cs="Times New Roman"/>
          <w:b/>
          <w:bCs/>
          <w:color w:val="auto"/>
          <w:szCs w:val="32"/>
          <w:lang w:val="en-US"/>
        </w:rPr>
      </w:pPr>
      <w:r>
        <w:rPr>
          <w:rStyle w:val="20"/>
          <w:rFonts w:hint="eastAsia" w:ascii="Times New Roman" w:hAnsi="Times New Roman" w:eastAsia="方正仿宋_GBK" w:cs="Times New Roman"/>
          <w:b/>
          <w:bCs/>
          <w:color w:val="auto"/>
          <w:szCs w:val="32"/>
          <w:lang w:eastAsia="zh-CN"/>
        </w:rPr>
        <w:t>（</w:t>
      </w:r>
      <w:r>
        <w:rPr>
          <w:rStyle w:val="20"/>
          <w:rFonts w:hint="eastAsia" w:ascii="Times New Roman" w:hAnsi="Times New Roman" w:eastAsia="方正仿宋_GBK" w:cs="Times New Roman"/>
          <w:b/>
          <w:bCs/>
          <w:color w:val="auto"/>
          <w:szCs w:val="32"/>
          <w:lang w:val="en-US" w:eastAsia="zh-CN"/>
        </w:rPr>
        <w:t>三</w:t>
      </w:r>
      <w:r>
        <w:rPr>
          <w:rStyle w:val="20"/>
          <w:rFonts w:hint="eastAsia" w:ascii="Times New Roman" w:hAnsi="Times New Roman" w:eastAsia="方正仿宋_GBK" w:cs="Times New Roman"/>
          <w:b/>
          <w:bCs/>
          <w:color w:val="auto"/>
          <w:szCs w:val="32"/>
          <w:lang w:eastAsia="zh-CN"/>
        </w:rPr>
        <w:t>）</w:t>
      </w:r>
      <w:r>
        <w:rPr>
          <w:rStyle w:val="20"/>
          <w:rFonts w:hint="eastAsia" w:ascii="Times New Roman" w:hAnsi="Times New Roman" w:eastAsia="方正仿宋_GBK" w:cs="Times New Roman"/>
          <w:b/>
          <w:bCs/>
          <w:color w:val="auto"/>
          <w:szCs w:val="32"/>
          <w:lang w:val="en-US"/>
        </w:rPr>
        <w:t>硕士生招生考试环节仍有较大提升空间</w:t>
      </w:r>
    </w:p>
    <w:p w14:paraId="2B025E2C">
      <w:pPr>
        <w:pStyle w:val="3"/>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20"/>
          <w:rFonts w:hint="default" w:ascii="Times New Roman" w:hAnsi="Times New Roman" w:eastAsia="方正仿宋_GBK" w:cs="Times New Roman"/>
          <w:color w:val="auto"/>
          <w:szCs w:val="32"/>
          <w:lang w:val="en-US" w:eastAsia="zh-CN"/>
        </w:rPr>
      </w:pPr>
      <w:r>
        <w:rPr>
          <w:rStyle w:val="20"/>
          <w:rFonts w:hint="eastAsia" w:ascii="Times New Roman" w:hAnsi="Times New Roman" w:eastAsia="方正仿宋_GBK" w:cs="Times New Roman"/>
          <w:color w:val="auto"/>
          <w:szCs w:val="32"/>
          <w:lang w:val="en-US" w:eastAsia="zh-CN"/>
        </w:rPr>
        <w:t>在鼓励减少自命题数量的大背景下，我校2025年硕士研究生招生自命题科目从76门压缩到44门，仍然超出全国平均数11门，需要进一步优化和压缩。拟探索自命题题库建设，实现命题环节数字化、智能化管理。此外，目前招生宣传手段单一，管理粗放、效果差，拟结合最新的人工智能技术高效和精准传播招生信息。</w:t>
      </w:r>
      <w:bookmarkStart w:id="0" w:name="_GoBack"/>
      <w:bookmarkEnd w:id="0"/>
    </w:p>
    <w:p w14:paraId="3085AFFC">
      <w:pPr>
        <w:pStyle w:val="3"/>
        <w:spacing w:line="240" w:lineRule="auto"/>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1AB7D-FC30-4389-8DE1-322BD44634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735730E-F796-425A-A795-3207D4A8D577}"/>
  </w:font>
  <w:font w:name="楷体_GB2312">
    <w:panose1 w:val="02010609030101010101"/>
    <w:charset w:val="86"/>
    <w:family w:val="modern"/>
    <w:pitch w:val="default"/>
    <w:sig w:usb0="00000001" w:usb1="080E0000" w:usb2="00000000" w:usb3="00000000" w:csb0="00040000" w:csb1="00000000"/>
    <w:embedRegular r:id="rId3" w:fontKey="{C276ECE2-4B96-4E93-A2F6-728B85BBAD3A}"/>
  </w:font>
  <w:font w:name="方正楷体_GB2312">
    <w:panose1 w:val="02000000000000000000"/>
    <w:charset w:val="86"/>
    <w:family w:val="auto"/>
    <w:pitch w:val="default"/>
    <w:sig w:usb0="A00002BF" w:usb1="184F6CFA" w:usb2="00000012" w:usb3="00000000" w:csb0="00040001" w:csb1="00000000"/>
    <w:embedRegular r:id="rId4" w:fontKey="{5829BC2A-74A8-43A6-A8C1-21E345C65917}"/>
  </w:font>
  <w:font w:name="方正仿宋_GBK">
    <w:panose1 w:val="03000509000000000000"/>
    <w:charset w:val="86"/>
    <w:family w:val="auto"/>
    <w:pitch w:val="default"/>
    <w:sig w:usb0="00000001" w:usb1="080E0000" w:usb2="00000000" w:usb3="00000000" w:csb0="00040000" w:csb1="00000000"/>
    <w:embedRegular r:id="rId5" w:fontKey="{0F0034B3-6D84-4D1D-BE57-3BF5C6B8640D}"/>
  </w:font>
  <w:font w:name="仿宋_GB2312">
    <w:panose1 w:val="02010609030101010101"/>
    <w:charset w:val="86"/>
    <w:family w:val="modern"/>
    <w:pitch w:val="default"/>
    <w:sig w:usb0="00000001" w:usb1="080E0000" w:usb2="00000000" w:usb3="00000000" w:csb0="00040000" w:csb1="00000000"/>
    <w:embedRegular r:id="rId6" w:fontKey="{40A028A2-FA40-40F6-899F-3B4F1925103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A4B0">
    <w:pPr>
      <w:pStyle w:val="7"/>
      <w:widowControl/>
      <w:textAlignment w:val="baseline"/>
      <w:rPr>
        <w:rStyle w:val="20"/>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4A73">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3144A73">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20"/>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045B53">
                          <w:pPr>
                            <w:pStyle w:val="7"/>
                            <w:widowControl/>
                            <w:jc w:val="both"/>
                            <w:textAlignment w:val="baseline"/>
                            <w:rPr>
                              <w:rStyle w:val="20"/>
                              <w:rFonts w:ascii="Times New Roman" w:hAnsi="Times New Roman" w:eastAsia="宋体"/>
                              <w:sz w:val="20"/>
                              <w:szCs w:val="18"/>
                            </w:rPr>
                          </w:pPr>
                        </w:p>
                        <w:p w14:paraId="7F4104AF">
                          <w:pPr>
                            <w:textAlignment w:val="baseline"/>
                            <w:rPr>
                              <w:rStyle w:val="20"/>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14:paraId="00045B53">
                    <w:pPr>
                      <w:pStyle w:val="7"/>
                      <w:widowControl/>
                      <w:jc w:val="both"/>
                      <w:textAlignment w:val="baseline"/>
                      <w:rPr>
                        <w:rStyle w:val="20"/>
                        <w:rFonts w:ascii="Times New Roman" w:hAnsi="Times New Roman" w:eastAsia="宋体"/>
                        <w:sz w:val="20"/>
                        <w:szCs w:val="18"/>
                      </w:rPr>
                    </w:pPr>
                  </w:p>
                  <w:p w14:paraId="7F4104AF">
                    <w:pPr>
                      <w:textAlignment w:val="baseline"/>
                      <w:rPr>
                        <w:rStyle w:val="20"/>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279A">
    <w:pPr>
      <w:pStyle w:val="7"/>
      <w:widowControl/>
      <w:jc w:val="center"/>
      <w:textAlignment w:val="baseline"/>
      <w:rPr>
        <w:rStyle w:val="20"/>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48FE0">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1848FE0">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75A5BE6A">
    <w:pPr>
      <w:pStyle w:val="7"/>
      <w:widowControl/>
      <w:jc w:val="center"/>
      <w:textAlignment w:val="baseline"/>
      <w:rPr>
        <w:rStyle w:val="20"/>
        <w:rFonts w:ascii="Times New Roman" w:hAnsi="Times New Roman" w:eastAsia="宋体"/>
        <w:sz w:val="28"/>
        <w:szCs w:val="28"/>
      </w:rPr>
    </w:pPr>
    <w:r>
      <w:rPr>
        <w:rStyle w:val="20"/>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638C28">
                          <w:pPr>
                            <w:pStyle w:val="7"/>
                            <w:widowControl/>
                            <w:jc w:val="center"/>
                            <w:textAlignment w:val="baseline"/>
                            <w:rPr>
                              <w:rStyle w:val="20"/>
                              <w:rFonts w:ascii="仿宋_GB2312" w:hAnsi="仿宋_GB2312" w:eastAsia="仿宋_GB2312"/>
                              <w:sz w:val="28"/>
                              <w:szCs w:val="28"/>
                            </w:rPr>
                          </w:pPr>
                        </w:p>
                        <w:p w14:paraId="0078C19B">
                          <w:pPr>
                            <w:textAlignment w:val="baseline"/>
                            <w:rPr>
                              <w:rStyle w:val="20"/>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3F638C28">
                    <w:pPr>
                      <w:pStyle w:val="7"/>
                      <w:widowControl/>
                      <w:jc w:val="center"/>
                      <w:textAlignment w:val="baseline"/>
                      <w:rPr>
                        <w:rStyle w:val="20"/>
                        <w:rFonts w:ascii="仿宋_GB2312" w:hAnsi="仿宋_GB2312" w:eastAsia="仿宋_GB2312"/>
                        <w:sz w:val="28"/>
                        <w:szCs w:val="28"/>
                      </w:rPr>
                    </w:pPr>
                  </w:p>
                  <w:p w14:paraId="0078C19B">
                    <w:pPr>
                      <w:textAlignment w:val="baseline"/>
                      <w:rPr>
                        <w:rStyle w:val="20"/>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43A9D"/>
    <w:multiLevelType w:val="singleLevel"/>
    <w:tmpl w:val="0D443A9D"/>
    <w:lvl w:ilvl="0" w:tentative="0">
      <w:start w:val="2"/>
      <w:numFmt w:val="decimal"/>
      <w:suff w:val="space"/>
      <w:lvlText w:val="%1."/>
      <w:lvlJc w:val="left"/>
    </w:lvl>
  </w:abstractNum>
  <w:abstractNum w:abstractNumId="1">
    <w:nsid w:val="446177CE"/>
    <w:multiLevelType w:val="singleLevel"/>
    <w:tmpl w:val="446177C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43EE"/>
    <w:rsid w:val="0000504C"/>
    <w:rsid w:val="00025CCA"/>
    <w:rsid w:val="000261C8"/>
    <w:rsid w:val="00053C36"/>
    <w:rsid w:val="00060BC9"/>
    <w:rsid w:val="00072396"/>
    <w:rsid w:val="00082791"/>
    <w:rsid w:val="000C1086"/>
    <w:rsid w:val="000E43B8"/>
    <w:rsid w:val="00100CB1"/>
    <w:rsid w:val="0023192B"/>
    <w:rsid w:val="00257A06"/>
    <w:rsid w:val="002731BC"/>
    <w:rsid w:val="00282C5E"/>
    <w:rsid w:val="002A2A8F"/>
    <w:rsid w:val="002A7FA9"/>
    <w:rsid w:val="00364B81"/>
    <w:rsid w:val="0041372A"/>
    <w:rsid w:val="0044045C"/>
    <w:rsid w:val="00451F04"/>
    <w:rsid w:val="0046403B"/>
    <w:rsid w:val="0054606F"/>
    <w:rsid w:val="00670B2F"/>
    <w:rsid w:val="00692E58"/>
    <w:rsid w:val="006E5288"/>
    <w:rsid w:val="00702CF9"/>
    <w:rsid w:val="007852C0"/>
    <w:rsid w:val="007859E5"/>
    <w:rsid w:val="008D454D"/>
    <w:rsid w:val="008E7F9F"/>
    <w:rsid w:val="0094421E"/>
    <w:rsid w:val="00980AFE"/>
    <w:rsid w:val="009B7AAA"/>
    <w:rsid w:val="00A349CF"/>
    <w:rsid w:val="00A54693"/>
    <w:rsid w:val="00A849B2"/>
    <w:rsid w:val="00AA3D58"/>
    <w:rsid w:val="00AE0A6F"/>
    <w:rsid w:val="00B20CCB"/>
    <w:rsid w:val="00B45A99"/>
    <w:rsid w:val="00B54276"/>
    <w:rsid w:val="00C32B15"/>
    <w:rsid w:val="00C91C98"/>
    <w:rsid w:val="00CB5665"/>
    <w:rsid w:val="00D412FB"/>
    <w:rsid w:val="00D76BC6"/>
    <w:rsid w:val="00D94DEB"/>
    <w:rsid w:val="00DA77BC"/>
    <w:rsid w:val="00E53D40"/>
    <w:rsid w:val="00E5622F"/>
    <w:rsid w:val="00E66674"/>
    <w:rsid w:val="00E84402"/>
    <w:rsid w:val="00E864DE"/>
    <w:rsid w:val="00E871BF"/>
    <w:rsid w:val="00E94010"/>
    <w:rsid w:val="00E9446D"/>
    <w:rsid w:val="00F7746A"/>
    <w:rsid w:val="00F94256"/>
    <w:rsid w:val="01DB364B"/>
    <w:rsid w:val="02814D4B"/>
    <w:rsid w:val="0422003D"/>
    <w:rsid w:val="046E630F"/>
    <w:rsid w:val="05235D34"/>
    <w:rsid w:val="06A20A39"/>
    <w:rsid w:val="08D12F00"/>
    <w:rsid w:val="0A960BA9"/>
    <w:rsid w:val="0B3049D6"/>
    <w:rsid w:val="0B352404"/>
    <w:rsid w:val="0B5118BA"/>
    <w:rsid w:val="0B660046"/>
    <w:rsid w:val="0B692FE1"/>
    <w:rsid w:val="0C480258"/>
    <w:rsid w:val="0CD00F0A"/>
    <w:rsid w:val="0EBD0E70"/>
    <w:rsid w:val="0F6459AD"/>
    <w:rsid w:val="0F712BB6"/>
    <w:rsid w:val="101741BD"/>
    <w:rsid w:val="102354BF"/>
    <w:rsid w:val="121A010C"/>
    <w:rsid w:val="122A64EE"/>
    <w:rsid w:val="12A40F0E"/>
    <w:rsid w:val="12E92C46"/>
    <w:rsid w:val="14817EFB"/>
    <w:rsid w:val="16F83C72"/>
    <w:rsid w:val="17D74C08"/>
    <w:rsid w:val="18470CA7"/>
    <w:rsid w:val="1BE00C82"/>
    <w:rsid w:val="1CC25C22"/>
    <w:rsid w:val="1D1633DB"/>
    <w:rsid w:val="1E501745"/>
    <w:rsid w:val="1EA27958"/>
    <w:rsid w:val="20347D76"/>
    <w:rsid w:val="20D504B9"/>
    <w:rsid w:val="22866796"/>
    <w:rsid w:val="23CA441F"/>
    <w:rsid w:val="26031625"/>
    <w:rsid w:val="270C4509"/>
    <w:rsid w:val="27492919"/>
    <w:rsid w:val="27A929FE"/>
    <w:rsid w:val="2C21126A"/>
    <w:rsid w:val="2C752F1C"/>
    <w:rsid w:val="2D104A12"/>
    <w:rsid w:val="2FFA6C4E"/>
    <w:rsid w:val="32866B73"/>
    <w:rsid w:val="32B36180"/>
    <w:rsid w:val="33C10429"/>
    <w:rsid w:val="33D83D93"/>
    <w:rsid w:val="36F31241"/>
    <w:rsid w:val="373533F1"/>
    <w:rsid w:val="377C4BC8"/>
    <w:rsid w:val="37FE1C4C"/>
    <w:rsid w:val="38147E3B"/>
    <w:rsid w:val="389D0C80"/>
    <w:rsid w:val="39237490"/>
    <w:rsid w:val="39D4535A"/>
    <w:rsid w:val="39EB2D4A"/>
    <w:rsid w:val="3AEF7B36"/>
    <w:rsid w:val="3B857ED9"/>
    <w:rsid w:val="3B9B0C14"/>
    <w:rsid w:val="3D41719F"/>
    <w:rsid w:val="3D9B21BA"/>
    <w:rsid w:val="3EE83FF7"/>
    <w:rsid w:val="3F40671A"/>
    <w:rsid w:val="3F656FEF"/>
    <w:rsid w:val="3FBF6165"/>
    <w:rsid w:val="3FEE08F8"/>
    <w:rsid w:val="40253FDC"/>
    <w:rsid w:val="43673D14"/>
    <w:rsid w:val="43E04937"/>
    <w:rsid w:val="44173ECB"/>
    <w:rsid w:val="44421984"/>
    <w:rsid w:val="44A44BC4"/>
    <w:rsid w:val="44AD2E0D"/>
    <w:rsid w:val="46C035F8"/>
    <w:rsid w:val="4B3E553B"/>
    <w:rsid w:val="4D7D7DB9"/>
    <w:rsid w:val="4F9A0054"/>
    <w:rsid w:val="51BE544C"/>
    <w:rsid w:val="526E1E56"/>
    <w:rsid w:val="5338480E"/>
    <w:rsid w:val="53D8114B"/>
    <w:rsid w:val="562166FF"/>
    <w:rsid w:val="56B073E7"/>
    <w:rsid w:val="56E90240"/>
    <w:rsid w:val="57A23368"/>
    <w:rsid w:val="57EF7F46"/>
    <w:rsid w:val="58815E06"/>
    <w:rsid w:val="58FA5DED"/>
    <w:rsid w:val="5EC47139"/>
    <w:rsid w:val="61D6115A"/>
    <w:rsid w:val="659F2553"/>
    <w:rsid w:val="66EF4E57"/>
    <w:rsid w:val="678A43E5"/>
    <w:rsid w:val="67A4342A"/>
    <w:rsid w:val="67E0517D"/>
    <w:rsid w:val="6A215794"/>
    <w:rsid w:val="6AAB5A90"/>
    <w:rsid w:val="6C160F2C"/>
    <w:rsid w:val="6CC91B21"/>
    <w:rsid w:val="6E9953CB"/>
    <w:rsid w:val="6E995A95"/>
    <w:rsid w:val="6EAE7733"/>
    <w:rsid w:val="70D80B24"/>
    <w:rsid w:val="7229607F"/>
    <w:rsid w:val="72DA419A"/>
    <w:rsid w:val="73D25D6E"/>
    <w:rsid w:val="740B40E6"/>
    <w:rsid w:val="75187F78"/>
    <w:rsid w:val="754E378A"/>
    <w:rsid w:val="75D7090C"/>
    <w:rsid w:val="77260526"/>
    <w:rsid w:val="77277B70"/>
    <w:rsid w:val="775D17E4"/>
    <w:rsid w:val="77B72634"/>
    <w:rsid w:val="77F40DE4"/>
    <w:rsid w:val="78085BF3"/>
    <w:rsid w:val="79A25C86"/>
    <w:rsid w:val="7AEA7A47"/>
    <w:rsid w:val="7AF721A5"/>
    <w:rsid w:val="7BBC67DB"/>
    <w:rsid w:val="7BE14791"/>
    <w:rsid w:val="7DD37E5E"/>
    <w:rsid w:val="7E032B2C"/>
    <w:rsid w:val="7E637C8C"/>
    <w:rsid w:val="7E8E6727"/>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annotation text"/>
    <w:basedOn w:val="1"/>
    <w:qFormat/>
    <w:uiPriority w:val="0"/>
    <w:pPr>
      <w:jc w:val="left"/>
    </w:p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Hyperlink"/>
    <w:basedOn w:val="13"/>
    <w:qFormat/>
    <w:uiPriority w:val="0"/>
    <w:rPr>
      <w:color w:val="0000FF"/>
      <w:u w:val="none"/>
    </w:rPr>
  </w:style>
  <w:style w:type="character" w:customStyle="1" w:styleId="18">
    <w:name w:val="hover21"/>
    <w:basedOn w:val="13"/>
    <w:qFormat/>
    <w:uiPriority w:val="0"/>
    <w:rPr>
      <w:color w:val="557EE7"/>
    </w:rPr>
  </w:style>
  <w:style w:type="paragraph" w:customStyle="1" w:styleId="19">
    <w:name w:val="彩色列表 - 强调文字颜色 11"/>
    <w:basedOn w:val="1"/>
    <w:qFormat/>
    <w:uiPriority w:val="0"/>
    <w:pPr>
      <w:ind w:firstLine="420" w:firstLineChars="200"/>
    </w:pPr>
    <w:rPr>
      <w:rFonts w:ascii="Cambria" w:hAnsi="Cambria"/>
      <w:szCs w:val="22"/>
    </w:rPr>
  </w:style>
  <w:style w:type="character" w:customStyle="1" w:styleId="20">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1">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paragraph" w:customStyle="1" w:styleId="22">
    <w:name w:val="列出段落1"/>
    <w:basedOn w:val="1"/>
    <w:qFormat/>
    <w:uiPriority w:val="0"/>
    <w:pPr>
      <w:ind w:firstLine="420" w:firstLineChars="200"/>
    </w:pPr>
    <w:rPr>
      <w:rFonts w:ascii="Calibri" w:hAnsi="Calibri" w:eastAsia="宋体" w:cs="Times New Roman"/>
      <w:sz w:val="21"/>
      <w:szCs w:val="21"/>
    </w:rPr>
  </w:style>
  <w:style w:type="character" w:customStyle="1" w:styleId="23">
    <w:name w:val="批注框文本 Char"/>
    <w:basedOn w:val="13"/>
    <w:link w:val="6"/>
    <w:qFormat/>
    <w:uiPriority w:val="0"/>
    <w:rPr>
      <w:rFonts w:eastAsia="方正仿宋简体"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3559</Words>
  <Characters>4010</Characters>
  <Lines>31</Lines>
  <Paragraphs>8</Paragraphs>
  <TotalTime>29</TotalTime>
  <ScaleCrop>false</ScaleCrop>
  <LinksUpToDate>false</LinksUpToDate>
  <CharactersWithSpaces>4046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miduch</cp:lastModifiedBy>
  <cp:lastPrinted>2020-11-20T03:24:00Z</cp:lastPrinted>
  <dcterms:modified xsi:type="dcterms:W3CDTF">2025-03-21T03:43:19Z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eyJoZGlkIjoiNmNiN2Y4MmExNTZlMGM3ZDk3ZmMwOGVlZDRjYTA4YmYiLCJ1c2VySWQiOiI0MjAwNjI3In0=</vt:lpwstr>
  </property>
  <property fmtid="{D5CDD505-2E9C-101B-9397-08002B2CF9AE}" pid="4" name="ICV">
    <vt:lpwstr>9CEE8A6C21B74767A912A2A7010722F4_12</vt:lpwstr>
  </property>
</Properties>
</file>